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4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p>
            <w:pPr>
              <w:pStyle w:val="TableContents"/>
              <w:bidi w:val="0"/>
              <w:spacing w:before="0" w:after="0"/>
              <w:ind w:left="0" w:right="0" w:firstLine="45"/>
              <w:jc w:val="left"/>
              <w:rPr/>
            </w:pPr>
            <w:r>
              <w:rPr/>
            </w:r>
          </w:p>
        </w:tc>
      </w:tr>
    </w:tbl>
    <w:p>
      <w:pPr>
        <w:pStyle w:val="TextBody"/>
        <w:bidi w:val="0"/>
        <w:spacing w:before="0" w:after="0"/>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540"/>
        <w:jc w:val="left"/>
        <w:rPr>
          <w:rFonts w:ascii="Times New Roman;serif" w:hAnsi="Times New Roman;serif"/>
          <w:b/>
          <w:color w:val="000000"/>
          <w:sz w:val="20"/>
        </w:rPr>
      </w:pPr>
      <w:r>
        <w:rPr>
          <w:rFonts w:ascii="Times New Roman;serif" w:hAnsi="Times New Roman;serif"/>
          <w:b/>
          <w:color w:val="000000"/>
          <w:sz w:val="20"/>
        </w:rPr>
        <w:t xml:space="preserve">For the transition period from __________ to __________ </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 xml:space="preserve">Commission File Number </w:t>
      </w:r>
      <w:r>
        <w:rPr>
          <w:rFonts w:ascii="Times New Roman;serif" w:hAnsi="Times New Roman;serif"/>
          <w:b/>
          <w:color w:val="000000"/>
          <w:sz w:val="20"/>
          <w:shd w:fill="FFFFFF" w:val="clear"/>
        </w:rPr>
        <w:t>001-38547</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AUTOLUS THERAPEUTICS PLC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9025" w:type="dxa"/>
        <w:jc w:val="center"/>
        <w:tblInd w:w="0" w:type="dxa"/>
        <w:tblLayout w:type="fixed"/>
        <w:tblCellMar>
          <w:top w:w="28" w:type="dxa"/>
          <w:left w:w="28" w:type="dxa"/>
          <w:bottom w:w="28" w:type="dxa"/>
          <w:right w:w="28" w:type="dxa"/>
        </w:tblCellMar>
      </w:tblPr>
      <w:tblGrid>
        <w:gridCol w:w="1813"/>
        <w:gridCol w:w="1595"/>
        <w:gridCol w:w="1601"/>
        <w:gridCol w:w="157"/>
        <w:gridCol w:w="157"/>
        <w:gridCol w:w="157"/>
        <w:gridCol w:w="157"/>
        <w:gridCol w:w="157"/>
        <w:gridCol w:w="157"/>
        <w:gridCol w:w="898"/>
        <w:gridCol w:w="898"/>
        <w:gridCol w:w="1278"/>
      </w:tblGrid>
      <w:tr>
        <w:trPr/>
        <w:tc>
          <w:tcPr>
            <w:tcW w:w="1813"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England and Wales</w:t>
            </w:r>
          </w:p>
        </w:tc>
        <w:tc>
          <w:tcPr>
            <w:tcW w:w="9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500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9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4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The Mediaworks</w:t>
            </w:r>
          </w:p>
        </w:tc>
      </w:tr>
      <w:tr>
        <w:trPr/>
        <w:tc>
          <w:tcPr>
            <w:tcW w:w="902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191 Wood Lane</w:t>
            </w:r>
          </w:p>
        </w:tc>
      </w:tr>
      <w:tr>
        <w:trPr/>
        <w:tc>
          <w:tcPr>
            <w:tcW w:w="500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right"/>
              <w:rPr>
                <w:rFonts w:ascii="Times New Roman;serif" w:hAnsi="Times New Roman;serif"/>
                <w:b/>
                <w:color w:val="000000"/>
                <w:sz w:val="20"/>
              </w:rPr>
            </w:pPr>
            <w:r>
              <w:rPr>
                <w:rFonts w:ascii="Times New Roman;serif" w:hAnsi="Times New Roman;serif"/>
                <w:b/>
                <w:color w:val="000000"/>
                <w:sz w:val="20"/>
              </w:rPr>
              <w:t>London</w:t>
            </w:r>
          </w:p>
        </w:tc>
        <w:tc>
          <w:tcPr>
            <w:tcW w:w="942"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erif" w:hAnsi="Times New Roman;serif"/>
                <w:b/>
                <w:color w:val="000000"/>
                <w:sz w:val="20"/>
              </w:rPr>
            </w:pPr>
            <w:r>
              <w:rPr>
                <w:rFonts w:ascii="Times New Roman;serif" w:hAnsi="Times New Roman;serif"/>
                <w:b/>
                <w:color w:val="000000"/>
                <w:sz w:val="20"/>
              </w:rPr>
              <w:t>W12 7FP</w:t>
            </w:r>
          </w:p>
        </w:tc>
        <w:tc>
          <w:tcPr>
            <w:tcW w:w="30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United Kingdom</w:t>
            </w:r>
          </w:p>
        </w:tc>
      </w:tr>
      <w:tr>
        <w:trPr/>
        <w:tc>
          <w:tcPr>
            <w:tcW w:w="902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r>
      <w:tr>
        <w:trPr/>
        <w:tc>
          <w:tcPr>
            <w:tcW w:w="5480" w:type="dxa"/>
            <w:gridSpan w:val="6"/>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(44) 20</w:t>
            </w:r>
          </w:p>
        </w:tc>
        <w:tc>
          <w:tcPr>
            <w:tcW w:w="354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color w:val="000000"/>
                <w:sz w:val="20"/>
              </w:rPr>
            </w:pPr>
            <w:r>
              <w:rPr>
                <w:rFonts w:ascii="Times New Roman;serif" w:hAnsi="Times New Roman;serif"/>
                <w:b/>
                <w:color w:val="000000"/>
                <w:sz w:val="20"/>
              </w:rPr>
              <w:t>3829 6230</w:t>
            </w:r>
          </w:p>
        </w:tc>
      </w:tr>
      <w:tr>
        <w:trPr/>
        <w:tc>
          <w:tcPr>
            <w:tcW w:w="9025"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2167"/>
        <w:gridCol w:w="1859"/>
        <w:gridCol w:w="1817"/>
        <w:gridCol w:w="471"/>
        <w:gridCol w:w="471"/>
        <w:gridCol w:w="473"/>
        <w:gridCol w:w="860"/>
        <w:gridCol w:w="860"/>
        <w:gridCol w:w="1227"/>
      </w:tblGrid>
      <w:tr>
        <w:trPr/>
        <w:tc>
          <w:tcPr>
            <w:tcW w:w="2167"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584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1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294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84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American Depositary Shares, each representing one ordinary share, par value $0.000042 per share</w:t>
            </w:r>
          </w:p>
        </w:tc>
        <w:tc>
          <w:tcPr>
            <w:tcW w:w="141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AUTL</w:t>
            </w:r>
          </w:p>
        </w:tc>
        <w:tc>
          <w:tcPr>
            <w:tcW w:w="294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584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$0.000042 per share*</w:t>
            </w:r>
          </w:p>
        </w:tc>
        <w:tc>
          <w:tcPr>
            <w:tcW w:w="141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947"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Not for trading, but only in connection with the listing of the American Depositary Shares on The Nasdaq Stock Market LLC.</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Yes ☒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“an emerging growth company” in Rule 12b-2 of the Exchange Act: </w:t>
      </w:r>
    </w:p>
    <w:tbl>
      <w:tblPr>
        <w:tblW w:w="5087" w:type="dxa"/>
        <w:jc w:val="left"/>
        <w:tblInd w:w="0" w:type="dxa"/>
        <w:tblLayout w:type="fixed"/>
        <w:tblCellMar>
          <w:top w:w="28" w:type="dxa"/>
          <w:left w:w="28" w:type="dxa"/>
          <w:bottom w:w="28" w:type="dxa"/>
          <w:right w:w="28" w:type="dxa"/>
        </w:tblCellMar>
      </w:tblPr>
      <w:tblGrid>
        <w:gridCol w:w="711"/>
        <w:gridCol w:w="625"/>
        <w:gridCol w:w="629"/>
        <w:gridCol w:w="120"/>
        <w:gridCol w:w="120"/>
        <w:gridCol w:w="121"/>
        <w:gridCol w:w="784"/>
        <w:gridCol w:w="784"/>
        <w:gridCol w:w="787"/>
        <w:gridCol w:w="112"/>
        <w:gridCol w:w="112"/>
        <w:gridCol w:w="182"/>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ind w:left="0" w:right="0" w:firstLine="45"/>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Yes ☐ No ☐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10, 2026, the registrant had 266,162,540 ordinary shares (including shares in form of American Depositary Shares (“ADSs”)), par value $0.000042 per share, outstanding.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Autolus Therapeutics plc (the “Company”) qualifies as a “Foreign Private Issuer,” as defined in Rule 3b-4 under the Securities Exchange Act of 1934 (the “Exchange Act”) and is exempt from filing quarterly reports on Form 10-Q by virtue of Rules 13a-13 and 15d-13 under the Exchange Act. The Company has voluntarily elected to file this Quarterly Report on Form 10-Q for the quarter ended June 30, 2026. Accordingly, as a foreign private issuer, the Company remains exempt from the U.S. federal proxy rules pursuant to Section 14 of the Exchange Act and Regulations 14A and 14C thereunder, Regulation FD, and its officers, directors, and principal shareholders are not subject to the short-swing profit disclosure and recovery provisions contained in Section 16 of the Exchange Act.</w:t>
      </w:r>
    </w:p>
    <w:p>
      <w:pPr>
        <w:pStyle w:val="TextBody"/>
        <w:bidi w:val="0"/>
        <w:spacing w:before="0" w:after="0"/>
        <w:jc w:val="center"/>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615"/>
        <w:gridCol w:w="3098"/>
        <w:gridCol w:w="3118"/>
        <w:gridCol w:w="109"/>
        <w:gridCol w:w="109"/>
        <w:gridCol w:w="156"/>
      </w:tblGrid>
      <w:tr>
        <w:trPr/>
        <w:tc>
          <w:tcPr>
            <w:tcW w:w="3615"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0a8785df81a47d58f005d0adf3d9792_16">
              <w:r>
                <w:rPr>
                  <w:rStyle w:val="InternetLink"/>
                  <w:rFonts w:ascii="Times New Roman;serif" w:hAnsi="Times New Roman;serif"/>
                  <w:b w:val="false"/>
                  <w:color w:val="0E32E1"/>
                  <w:sz w:val="20"/>
                  <w:u w:val="single"/>
                </w:rPr>
                <w:t>Part I –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16">
              <w:r>
                <w:rPr>
                  <w:rStyle w:val="InternetLink"/>
                  <w:rFonts w:ascii="Times New Roman;serif" w:hAnsi="Times New Roman;serif"/>
                  <w:b w:val="false"/>
                  <w:color w:val="0000FF"/>
                  <w:sz w:val="20"/>
                  <w:u w:val="single"/>
                </w:rPr>
                <w:t>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0a8785df81a47d58f005d0adf3d9792_19">
              <w:r>
                <w:rPr>
                  <w:rStyle w:val="InternetLink"/>
                  <w:rFonts w:ascii="Times New Roman;serif" w:hAnsi="Times New Roman;serif"/>
                  <w:b w:val="false"/>
                  <w:color w:val="000080"/>
                  <w:sz w:val="20"/>
                  <w:u w:val="single"/>
                </w:rPr>
                <w:t xml:space="preserve">Item 1. Financial </w:t>
              </w:r>
            </w:hyperlink>
            <w:hyperlink w:anchor="i90a8785df81a47d58f005d0adf3d9792_19">
              <w:r>
                <w:rPr>
                  <w:rStyle w:val="InternetLink"/>
                  <w:rFonts w:ascii="Times New Roman;serif" w:hAnsi="Times New Roman;serif"/>
                  <w:b w:val="false"/>
                  <w:color w:val="000080"/>
                  <w:sz w:val="20"/>
                  <w:u w:val="single"/>
                </w:rPr>
                <w:t>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19">
              <w:r>
                <w:rPr>
                  <w:rStyle w:val="InternetLink"/>
                  <w:rFonts w:ascii="Times New Roman;serif" w:hAnsi="Times New Roman;serif"/>
                  <w:b w:val="false"/>
                  <w:color w:val="0000FF"/>
                  <w:sz w:val="20"/>
                  <w:u w:val="single"/>
                </w:rPr>
                <w:t>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0a8785df81a47d58f005d0adf3d9792_22">
              <w:r>
                <w:rPr>
                  <w:rStyle w:val="InternetLink"/>
                  <w:rFonts w:ascii="Times New Roman;serif" w:hAnsi="Times New Roman;serif"/>
                  <w:b w:val="false"/>
                  <w:color w:val="000080"/>
                  <w:sz w:val="20"/>
                  <w:u w:val="single"/>
                </w:rPr>
                <w:t xml:space="preserve">Condensed Consolidated Balance Sheets as of </w:t>
              </w:r>
            </w:hyperlink>
            <w:hyperlink w:anchor="i90a8785df81a47d58f005d0adf3d9792_22">
              <w:r>
                <w:rPr>
                  <w:rStyle w:val="InternetLink"/>
                  <w:rFonts w:ascii="Times New Roman;serif" w:hAnsi="Times New Roman;serif"/>
                  <w:b w:val="false"/>
                  <w:color w:val="000080"/>
                  <w:sz w:val="20"/>
                  <w:u w:val="single"/>
                </w:rPr>
                <w:t>June 30</w:t>
              </w:r>
            </w:hyperlink>
            <w:hyperlink w:anchor="i90a8785df81a47d58f005d0adf3d9792_22">
              <w:r>
                <w:rPr>
                  <w:rStyle w:val="InternetLink"/>
                  <w:rFonts w:ascii="Times New Roman;serif" w:hAnsi="Times New Roman;serif"/>
                  <w:b w:val="false"/>
                  <w:color w:val="000080"/>
                  <w:sz w:val="20"/>
                  <w:u w:val="single"/>
                </w:rPr>
                <w:t>, 2026 and December 31, 202</w:t>
              </w:r>
            </w:hyperlink>
            <w:r>
              <w:rPr>
                <w:rFonts w:ascii="Times New Roman;serif" w:hAnsi="Times New Roman;serif"/>
                <w:b w:val="false"/>
                <w:color w:val="0E32E1"/>
                <w:sz w:val="20"/>
                <w:u w:val="single"/>
              </w:rPr>
              <w:t>5</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22">
              <w:r>
                <w:rPr>
                  <w:rStyle w:val="InternetLink"/>
                  <w:rFonts w:ascii="Times New Roman;serif" w:hAnsi="Times New Roman;serif"/>
                  <w:b w:val="false"/>
                  <w:color w:val="0E32E1"/>
                  <w:sz w:val="20"/>
                  <w:u w:val="single"/>
                </w:rPr>
                <w:t>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0a8785df81a47d58f005d0adf3d9792_25">
              <w:r>
                <w:rPr>
                  <w:rStyle w:val="InternetLink"/>
                  <w:rFonts w:ascii="Times New Roman;serif" w:hAnsi="Times New Roman;serif"/>
                  <w:b w:val="false"/>
                  <w:color w:val="000080"/>
                  <w:sz w:val="20"/>
                  <w:u w:val="single"/>
                </w:rPr>
                <w:t>Condensed Consolidated Statements of Operations and Comprehensive Loss for the Three</w:t>
              </w:r>
            </w:hyperlink>
            <w:hyperlink w:anchor="i90a8785df81a47d58f005d0adf3d9792_25">
              <w:r>
                <w:rPr>
                  <w:rStyle w:val="InternetLink"/>
                  <w:rFonts w:ascii="Times New Roman;serif" w:hAnsi="Times New Roman;serif"/>
                  <w:b w:val="false"/>
                  <w:color w:val="000080"/>
                  <w:sz w:val="20"/>
                  <w:u w:val="single"/>
                </w:rPr>
                <w:t xml:space="preserve"> and Six</w:t>
              </w:r>
            </w:hyperlink>
            <w:hyperlink w:anchor="i90a8785df81a47d58f005d0adf3d9792_25">
              <w:r>
                <w:rPr>
                  <w:rStyle w:val="InternetLink"/>
                  <w:rFonts w:ascii="Times New Roman;serif" w:hAnsi="Times New Roman;serif"/>
                  <w:b w:val="false"/>
                  <w:color w:val="000080"/>
                  <w:sz w:val="20"/>
                  <w:u w:val="single"/>
                </w:rPr>
                <w:t xml:space="preserve"> Months Ended </w:t>
              </w:r>
            </w:hyperlink>
            <w:hyperlink w:anchor="i90a8785df81a47d58f005d0adf3d9792_25">
              <w:r>
                <w:rPr>
                  <w:rStyle w:val="InternetLink"/>
                  <w:rFonts w:ascii="Times New Roman;serif" w:hAnsi="Times New Roman;serif"/>
                  <w:b w:val="false"/>
                  <w:color w:val="000080"/>
                  <w:sz w:val="20"/>
                  <w:u w:val="single"/>
                </w:rPr>
                <w:t>June 30</w:t>
              </w:r>
            </w:hyperlink>
            <w:hyperlink w:anchor="i90a8785df81a47d58f005d0adf3d9792_25">
              <w:r>
                <w:rPr>
                  <w:rStyle w:val="InternetLink"/>
                  <w:rFonts w:ascii="Times New Roman;serif" w:hAnsi="Times New Roman;serif"/>
                  <w:b w:val="false"/>
                  <w:color w:val="000080"/>
                  <w:sz w:val="20"/>
                  <w:u w:val="single"/>
                </w:rPr>
                <w:t xml:space="preserve">, 2026 and 2025 </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25">
              <w:r>
                <w:rPr>
                  <w:rStyle w:val="InternetLink"/>
                  <w:rFonts w:ascii="Times New Roman;serif" w:hAnsi="Times New Roman;serif"/>
                  <w:b w:val="false"/>
                  <w:color w:val="0000FF"/>
                  <w:sz w:val="20"/>
                  <w:u w:val="single"/>
                </w:rPr>
                <w:t>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0a8785df81a47d58f005d0adf3d9792_31">
              <w:bookmarkStart w:id="0" w:name="i487ae7088dc14c8883e28f40ff0b5c80_4-0-1-"/>
              <w:bookmarkEnd w:id="0"/>
              <w:r>
                <w:rPr>
                  <w:rStyle w:val="InternetLink"/>
                  <w:rFonts w:ascii="Times New Roman;serif" w:hAnsi="Times New Roman;serif"/>
                  <w:b w:val="false"/>
                  <w:color w:val="000080"/>
                  <w:sz w:val="20"/>
                  <w:u w:val="single"/>
                </w:rPr>
                <w:t>Condensed Consolidated Statements of Changes in Shareholders’ Equity for the Three</w:t>
              </w:r>
            </w:hyperlink>
            <w:hyperlink w:anchor="i90a8785df81a47d58f005d0adf3d9792_31">
              <w:r>
                <w:rPr>
                  <w:rStyle w:val="InternetLink"/>
                  <w:rFonts w:ascii="Times New Roman;serif" w:hAnsi="Times New Roman;serif"/>
                  <w:b w:val="false"/>
                  <w:color w:val="000080"/>
                  <w:sz w:val="20"/>
                  <w:u w:val="single"/>
                </w:rPr>
                <w:t xml:space="preserve"> and S</w:t>
              </w:r>
            </w:hyperlink>
            <w:hyperlink w:anchor="i90a8785df81a47d58f005d0adf3d9792_31">
              <w:r>
                <w:rPr>
                  <w:rStyle w:val="InternetLink"/>
                  <w:rFonts w:ascii="Times New Roman;serif" w:hAnsi="Times New Roman;serif"/>
                  <w:b w:val="false"/>
                  <w:color w:val="000080"/>
                  <w:sz w:val="20"/>
                  <w:u w:val="single"/>
                </w:rPr>
                <w:t>ix</w:t>
              </w:r>
            </w:hyperlink>
            <w:hyperlink w:anchor="i90a8785df81a47d58f005d0adf3d9792_31">
              <w:r>
                <w:rPr>
                  <w:rStyle w:val="InternetLink"/>
                  <w:rFonts w:ascii="Times New Roman;serif" w:hAnsi="Times New Roman;serif"/>
                  <w:b w:val="false"/>
                  <w:color w:val="000080"/>
                  <w:sz w:val="20"/>
                  <w:u w:val="single"/>
                </w:rPr>
                <w:t xml:space="preserve"> Months Ended </w:t>
              </w:r>
            </w:hyperlink>
            <w:hyperlink w:anchor="i90a8785df81a47d58f005d0adf3d9792_31">
              <w:r>
                <w:rPr>
                  <w:rStyle w:val="InternetLink"/>
                  <w:rFonts w:ascii="Times New Roman;serif" w:hAnsi="Times New Roman;serif"/>
                  <w:b w:val="false"/>
                  <w:color w:val="000080"/>
                  <w:sz w:val="20"/>
                  <w:u w:val="single"/>
                </w:rPr>
                <w:t>June 30</w:t>
              </w:r>
            </w:hyperlink>
            <w:hyperlink w:anchor="i90a8785df81a47d58f005d0adf3d9792_31">
              <w:r>
                <w:rPr>
                  <w:rStyle w:val="InternetLink"/>
                  <w:rFonts w:ascii="Times New Roman;serif" w:hAnsi="Times New Roman;serif"/>
                  <w:b w:val="false"/>
                  <w:color w:val="000080"/>
                  <w:sz w:val="20"/>
                  <w:u w:val="single"/>
                </w:rPr>
                <w:t>, 2026 and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31">
              <w:r>
                <w:rPr>
                  <w:rStyle w:val="InternetLink"/>
                  <w:rFonts w:ascii="Times New Roman;serif" w:hAnsi="Times New Roman;serif"/>
                  <w:b w:val="false"/>
                  <w:color w:val="0000FF"/>
                  <w:sz w:val="20"/>
                  <w:u w:val="single"/>
                </w:rPr>
                <w:t>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0a8785df81a47d58f005d0adf3d9792_34">
              <w:r>
                <w:rPr>
                  <w:rStyle w:val="InternetLink"/>
                  <w:rFonts w:ascii="Times New Roman;serif" w:hAnsi="Times New Roman;serif"/>
                  <w:b w:val="false"/>
                  <w:color w:val="000080"/>
                  <w:sz w:val="20"/>
                  <w:u w:val="single"/>
                </w:rPr>
                <w:t xml:space="preserve">Condensed Consolidated Statements of Cash Flows for the </w:t>
              </w:r>
            </w:hyperlink>
            <w:hyperlink w:anchor="i90a8785df81a47d58f005d0adf3d9792_34">
              <w:r>
                <w:rPr>
                  <w:rStyle w:val="InternetLink"/>
                  <w:rFonts w:ascii="Times New Roman;serif" w:hAnsi="Times New Roman;serif"/>
                  <w:b w:val="false"/>
                  <w:color w:val="000080"/>
                  <w:sz w:val="20"/>
                  <w:u w:val="single"/>
                </w:rPr>
                <w:t>Six</w:t>
              </w:r>
            </w:hyperlink>
            <w:hyperlink w:anchor="i90a8785df81a47d58f005d0adf3d9792_34">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June 30, 2026</w:t>
            </w:r>
            <w:hyperlink w:anchor="i90a8785df81a47d58f005d0adf3d9792_34">
              <w:r>
                <w:rPr>
                  <w:rStyle w:val="InternetLink"/>
                  <w:rFonts w:ascii="Times New Roman;serif" w:hAnsi="Times New Roman;serif"/>
                  <w:b w:val="false"/>
                  <w:color w:val="000080"/>
                  <w:sz w:val="20"/>
                  <w:u w:val="single"/>
                </w:rPr>
                <w:t xml:space="preserve"> and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34">
              <w:r>
                <w:rPr>
                  <w:rStyle w:val="InternetLink"/>
                  <w:rFonts w:ascii="Times New Roman;serif" w:hAnsi="Times New Roman;serif"/>
                  <w:b w:val="false"/>
                  <w:color w:val="0E32E1"/>
                  <w:sz w:val="20"/>
                  <w:u w:val="single"/>
                </w:rPr>
                <w:t>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0a8785df81a47d58f005d0adf3d9792_37">
              <w:r>
                <w:rPr>
                  <w:rStyle w:val="InternetLink"/>
                  <w:rFonts w:ascii="Times New Roman;serif" w:hAnsi="Times New Roman;serif"/>
                  <w:b w:val="false"/>
                  <w:color w:val="0E32E1"/>
                  <w:sz w:val="20"/>
                  <w:u w:val="single"/>
                </w:rPr>
                <w:t>Notes to the Condensed Consolidated Interim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37">
              <w:r>
                <w:rPr>
                  <w:rStyle w:val="InternetLink"/>
                  <w:rFonts w:ascii="Times New Roman;serif" w:hAnsi="Times New Roman;serif"/>
                  <w:b w:val="false"/>
                  <w:color w:val="0E32E1"/>
                  <w:sz w:val="20"/>
                  <w:u w:val="single"/>
                </w:rPr>
                <w:t>11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0a8785df81a47d58f005d0adf3d9792_121">
              <w:r>
                <w:rPr>
                  <w:rStyle w:val="InternetLink"/>
                  <w:rFonts w:ascii="Times New Roman;serif" w:hAnsi="Times New Roman;serif"/>
                  <w:b w:val="false"/>
                  <w:color w:val="0E32E1"/>
                  <w:sz w:val="20"/>
                  <w:u w:val="single"/>
                </w:rPr>
                <w:t>Item 2.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121">
              <w:r>
                <w:rPr>
                  <w:rStyle w:val="InternetLink"/>
                  <w:rFonts w:ascii="Times New Roman;serif" w:hAnsi="Times New Roman;serif"/>
                  <w:b w:val="false"/>
                  <w:color w:val="0000FF"/>
                  <w:sz w:val="20"/>
                  <w:u w:val="single"/>
                </w:rPr>
                <w:t>31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0a8785df81a47d58f005d0adf3d9792_151">
              <w:r>
                <w:rPr>
                  <w:rStyle w:val="InternetLink"/>
                  <w:rFonts w:ascii="Times New Roman;serif" w:hAnsi="Times New Roman;serif"/>
                  <w:b w:val="false"/>
                  <w:color w:val="0E32E1"/>
                  <w:sz w:val="20"/>
                  <w:u w:val="single"/>
                </w:rPr>
                <w:t>Item 3.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151">
              <w:r>
                <w:rPr>
                  <w:rStyle w:val="InternetLink"/>
                  <w:rFonts w:ascii="Times New Roman;serif" w:hAnsi="Times New Roman;serif"/>
                  <w:b w:val="false"/>
                  <w:color w:val="0E32E1"/>
                  <w:sz w:val="20"/>
                  <w:u w:val="single"/>
                </w:rPr>
                <w:t>44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0a8785df81a47d58f005d0adf3d9792_157">
              <w:r>
                <w:rPr>
                  <w:rStyle w:val="InternetLink"/>
                  <w:rFonts w:ascii="Times New Roman;serif" w:hAnsi="Times New Roman;serif"/>
                  <w:b w:val="false"/>
                  <w:color w:val="0E32E1"/>
                  <w:sz w:val="20"/>
                  <w:u w:val="single"/>
                </w:rPr>
                <w:t>Item 4. 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157">
              <w:r>
                <w:rPr>
                  <w:rStyle w:val="InternetLink"/>
                  <w:rFonts w:ascii="Times New Roman;serif" w:hAnsi="Times New Roman;serif"/>
                  <w:b w:val="false"/>
                  <w:color w:val="0E32E1"/>
                  <w:sz w:val="20"/>
                  <w:u w:val="single"/>
                </w:rPr>
                <w:t>44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0a8785df81a47d58f005d0adf3d9792_160">
              <w:r>
                <w:rPr>
                  <w:rStyle w:val="InternetLink"/>
                  <w:rFonts w:ascii="Times New Roman;serif" w:hAnsi="Times New Roman;serif"/>
                  <w:b w:val="false"/>
                  <w:color w:val="0E32E1"/>
                  <w:sz w:val="20"/>
                  <w:u w:val="single"/>
                </w:rPr>
                <w:t>Part II –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160">
              <w:r>
                <w:rPr>
                  <w:rStyle w:val="InternetLink"/>
                  <w:rFonts w:ascii="Times New Roman;serif" w:hAnsi="Times New Roman;serif"/>
                  <w:b w:val="false"/>
                  <w:color w:val="0E32E1"/>
                  <w:sz w:val="20"/>
                  <w:u w:val="single"/>
                </w:rPr>
                <w:t>45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0a8785df81a47d58f005d0adf3d9792_163">
              <w:r>
                <w:rPr>
                  <w:rStyle w:val="InternetLink"/>
                  <w:rFonts w:ascii="Times New Roman;serif" w:hAnsi="Times New Roman;serif"/>
                  <w:b w:val="false"/>
                  <w:color w:val="0E32E1"/>
                  <w:sz w:val="20"/>
                  <w:u w:val="single"/>
                </w:rPr>
                <w:t>Item 1.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163">
              <w:r>
                <w:rPr>
                  <w:rStyle w:val="InternetLink"/>
                  <w:rFonts w:ascii="Times New Roman;serif" w:hAnsi="Times New Roman;serif"/>
                  <w:b w:val="false"/>
                  <w:color w:val="0E32E1"/>
                  <w:sz w:val="20"/>
                  <w:u w:val="single"/>
                </w:rPr>
                <w:t>45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0a8785df81a47d58f005d0adf3d9792_166">
              <w:r>
                <w:rPr>
                  <w:rStyle w:val="InternetLink"/>
                  <w:rFonts w:ascii="Times New Roman;serif" w:hAnsi="Times New Roman;serif"/>
                  <w:b w:val="false"/>
                  <w:color w:val="0E32E1"/>
                  <w:sz w:val="20"/>
                  <w:u w:val="singl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166">
              <w:r>
                <w:rPr>
                  <w:rStyle w:val="InternetLink"/>
                  <w:rFonts w:ascii="Times New Roman;serif" w:hAnsi="Times New Roman;serif"/>
                  <w:b w:val="false"/>
                  <w:color w:val="0E32E1"/>
                  <w:sz w:val="20"/>
                  <w:u w:val="single"/>
                </w:rPr>
                <w:t>45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0a8785df81a47d58f005d0adf3d9792_172">
              <w:r>
                <w:rPr>
                  <w:rStyle w:val="InternetLink"/>
                  <w:rFonts w:ascii="Times New Roman;serif" w:hAnsi="Times New Roman;serif"/>
                  <w:b w:val="false"/>
                  <w:color w:val="0E32E1"/>
                  <w:sz w:val="20"/>
                  <w:u w:val="single"/>
                </w:rPr>
                <w:t>Item 2. 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172">
              <w:r>
                <w:rPr>
                  <w:rStyle w:val="InternetLink"/>
                  <w:rFonts w:ascii="Times New Roman;serif" w:hAnsi="Times New Roman;serif"/>
                  <w:b w:val="false"/>
                  <w:color w:val="0E32E1"/>
                  <w:sz w:val="20"/>
                  <w:u w:val="single"/>
                </w:rPr>
                <w:t>45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0a8785df81a47d58f005d0adf3d9792_175">
              <w:r>
                <w:rPr>
                  <w:rStyle w:val="InternetLink"/>
                  <w:rFonts w:ascii="Times New Roman;serif" w:hAnsi="Times New Roman;serif"/>
                  <w:b w:val="false"/>
                  <w:color w:val="0E32E1"/>
                  <w:sz w:val="20"/>
                  <w:u w:val="single"/>
                </w:rPr>
                <w:t>Item 3. 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175">
              <w:r>
                <w:rPr>
                  <w:rStyle w:val="InternetLink"/>
                  <w:rFonts w:ascii="Times New Roman;serif" w:hAnsi="Times New Roman;serif"/>
                  <w:b w:val="false"/>
                  <w:color w:val="0E32E1"/>
                  <w:sz w:val="20"/>
                  <w:u w:val="single"/>
                </w:rPr>
                <w:t>45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0a8785df81a47d58f005d0adf3d9792_178">
              <w:r>
                <w:rPr>
                  <w:rStyle w:val="InternetLink"/>
                  <w:rFonts w:ascii="Times New Roman;serif" w:hAnsi="Times New Roman;serif"/>
                  <w:b w:val="false"/>
                  <w:color w:val="0E32E1"/>
                  <w:sz w:val="20"/>
                  <w:u w:val="single"/>
                </w:rPr>
                <w:t>Item 4. 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178">
              <w:r>
                <w:rPr>
                  <w:rStyle w:val="InternetLink"/>
                  <w:rFonts w:ascii="Times New Roman;serif" w:hAnsi="Times New Roman;serif"/>
                  <w:b w:val="false"/>
                  <w:color w:val="0E32E1"/>
                  <w:sz w:val="20"/>
                  <w:u w:val="single"/>
                </w:rPr>
                <w:t>45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0a8785df81a47d58f005d0adf3d9792_181">
              <w:r>
                <w:rPr>
                  <w:rStyle w:val="InternetLink"/>
                  <w:rFonts w:ascii="Times New Roman;serif" w:hAnsi="Times New Roman;serif"/>
                  <w:b w:val="false"/>
                  <w:color w:val="0E32E1"/>
                  <w:sz w:val="20"/>
                  <w:u w:val="single"/>
                </w:rPr>
                <w:t>Item 5.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181">
              <w:r>
                <w:rPr>
                  <w:rStyle w:val="InternetLink"/>
                  <w:rFonts w:ascii="Times New Roman;serif" w:hAnsi="Times New Roman;serif"/>
                  <w:b w:val="false"/>
                  <w:color w:val="0E32E1"/>
                  <w:sz w:val="20"/>
                  <w:u w:val="single"/>
                </w:rPr>
                <w:t>45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0a8785df81a47d58f005d0adf3d9792_187">
              <w:r>
                <w:rPr>
                  <w:rStyle w:val="InternetLink"/>
                  <w:rFonts w:ascii="Times New Roman;serif" w:hAnsi="Times New Roman;serif"/>
                  <w:b w:val="false"/>
                  <w:color w:val="0E32E1"/>
                  <w:sz w:val="20"/>
                  <w:u w:val="single"/>
                </w:rPr>
                <w:t>Item 6. 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187">
              <w:r>
                <w:rPr>
                  <w:rStyle w:val="InternetLink"/>
                  <w:rFonts w:ascii="Times New Roman;serif" w:hAnsi="Times New Roman;serif"/>
                  <w:b w:val="false"/>
                  <w:color w:val="0E32E1"/>
                  <w:sz w:val="20"/>
                  <w:u w:val="single"/>
                </w:rPr>
                <w:t>45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0a8785df81a47d58f005d0adf3d9792_190">
              <w:r>
                <w:rPr>
                  <w:rStyle w:val="InternetLink"/>
                  <w:rFonts w:ascii="Times New Roman;serif" w:hAnsi="Times New Roman;serif"/>
                  <w:b w:val="false"/>
                  <w:color w:val="0E32E1"/>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8785df81a47d58f005d0adf3d9792_190">
              <w:r>
                <w:rPr>
                  <w:rStyle w:val="InternetLink"/>
                  <w:rFonts w:ascii="Times New Roman;serif" w:hAnsi="Times New Roman;serif"/>
                  <w:b w:val="false"/>
                  <w:color w:val="0E32E1"/>
                  <w:sz w:val="20"/>
                  <w:u w:val="singl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GENERAL INFORMATION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context otherwise requires, all references in this Quarterly Report on Form 10-Q to “Autolus,” the “Group,” the “company,” “we,” “us” and “our” refer to Autolus Therapeutics plc and its consolidated subsidiaries, except where the context otherwise requires.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Autolus, AUCATZYL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our other trademarks or service marks appearing in this Quarterly Report on Form 10-Q are our property. Solely for convenience, the trademarks and trade names in this Quarterly Report on Form 10-Q are referred to without the </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symbols, but such references should not be construed as any indicator that their respective owners will not assert, to the fullest extent under applicable law, their rights thereto. Products or service names of other companies mentioned in this Quarterly Report on Form 10-Q may be trademarks, trade names or service marks of their respective owners.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research and development costs, plans and objectives of management,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Although we believe that we have a reasonable basis for each forward-looking statement contained in this Quarterly Report on Form 10-Q, we caution you that these statements are based on a combination of facts and factors currently known by us and our expectations of the future, about which we cannot be certain.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Quarterly Report on Form 10-Q include, among other things, statements about: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therapeutic potential and expected clinical benefits of AUCATZYL/obe-cel (obecabtagene autoleucel) for adult patients with relapsed or refractory B-cell precursor acute lymphoblastic leukemia (“r/r B-ALL”);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generate revenues from AUCATZYL, which is dependent upon maintaining significant market acceptance among physicians, patients and healthcare payors;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maintain regulatory approval of AUCATZYL in the US, European Union (“EU”) and United Kingdom (“U.K.”), to obtain and maintain regulatory approval for obe-cel for adult r/r B-ALL in additional territories and the timing thereof, and to obtain and maintain regulatory approval of our other product candidates in the indications for which we plan to develop them, and any related restrictions, limitations or warnings in the label of an approved drug or therapy;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expectations regarding the commercialization and marketing of AUCATZYL for adult r/r B-ALL, including expanding into additional territories and the related timing of reaching patients in such territories;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development of our commercial product and product candidates, including statements regarding the initiation, timing, progress and the results of clinical studies or trials and related preparatory work, the period during which the results of the trials will become available and our research and development programs;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estimates regarding expenses, future revenue, capital requirements and needs for additional financing;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commercialization, marketing and manufacturing capabilities and strategy for AUCATZYL, including our ability to successfully recruit and retain sales and marketing personnel and to successfully build the market for AUCATZYL;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expectations about the willingness of healthcare providers to recommend AUCATZYL to people with adult r/r B-ALL;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impacts of public health crises and their effects on our operations and business, including interruption of key clinical trial activities, such as clinical trial site monitoring, access to capital, and potential disruption in the operations and business of third-party manufacturers, clinical sites, contract research organizations (“CROs”), other service providers and collaborators with whom we conduct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expectations regarding our ability to obtain and maintain intellectual property protection and our ability to license additional intellectual property relating to our product candidates from third parties and to comply with our existing license agreements;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plans to research, develop, manufacture and commercialize our product candidates;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potential benefits of our commercial product and product candidates;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timing or likelihood of regulatory filings and approvals for our product candidates, along with regulatory developments in the US, EU, U.K. and other foreign countries;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size and growth potential of the markets for our commercial product and product candidates, if approved, and the rate and degree of market acceptance of our commercial product and product candidates, including reimbursement that may be received from payors;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need for and ability to obtain additional funding, on favorable terms or at all;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expectations regarding our strategic financing facility with Perceptive Advisors, including our ability to draw down additional tranches under the facility, our ability to achieve the revenue targets or other conditions applicable to future tranches, and our ability to satisfy our repayment and other obligations under the facility;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plans to collaborate, or statements regarding our current collaborations with BioNTech SE (“BioNTech”) and others;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license and option agreement with BioNTech (the “BioNTech License and Option Agreement”), including our potential to receive milestone payments and royalties under the agreement;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attract collaborators with development, regulatory and commercialization expertise;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identify, recruit and retain qualified employees and key personnel;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contract with third-party suppliers and manufacturers and their ability to perform adequately;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scalability and commercial viability of our manufacturing methods and processes;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success of competing therapies that are or may become available;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whether we are classified as a Passive Foreign Investment Company (“PFIC”), for current and future periods;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successfully implement, and realize the expected benefits and cost savings from, our April 2026 restructuring and workforce reduction plan, and the timing and total costs of completing that plan;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outcome of our ongoing discussions with the United Kingdom tax authority regarding our eligibility for the research and development intensive scheme and the amount of research and development tax credits we are ultimately able to claim;</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additional costs and expenses related to our decision to voluntarily comply with certain U.S. domestic issuer reporting obligations before we are required to do so;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any other factors which may impact our financial results or future trading prices of our ADSs, and the impact of securities analysts’ reports on these prices.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these forward-looking statements are reasonable, these statements relate to our strategy, future operations, future financial position, future revenue, projected costs, prospects, plans, objectives of management and expected market growth, and involve known and unknown risks, uncertainties and other factors including, without limitation, risks, uncertainties and assumptions regarding the impact of macroeconomic events, including inflation, changes in interest rates, tariffs, changes in trade policies, political changes, general market conditions and the impacts of the war in Ukraine, conflicts in the Middle East and Europe, and global geopolitical tensions, on our business, operations, strategy, goals and anticipated timelines, our ongoing and planned preclinical activities, our ability to initiate, enroll, conduct or complete ongoing and planned clinical trials, our timelines for regulatory submissions and our financial position that may cause our actual results, levels of activity, performance or achievements to be materially different from any future results, levels of activity, performance or achievements expressed or implied by these forward-looking statements. You are urged to carefully review the disclosures we make concerning these risks and other factors that may affect our business and operating results in this Quarterly Report on Form 10-Q. You are cautioned not to place undue reliance on these forward-looking statements, which speak only as of the date of this document. Except as required by law, we do not intend, and undertake no obligation, to update any forward-looking information to reflect events or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509"/>
        <w:gridCol w:w="2137"/>
        <w:gridCol w:w="1934"/>
        <w:gridCol w:w="109"/>
        <w:gridCol w:w="109"/>
        <w:gridCol w:w="109"/>
        <w:gridCol w:w="155"/>
        <w:gridCol w:w="155"/>
        <w:gridCol w:w="156"/>
        <w:gridCol w:w="109"/>
        <w:gridCol w:w="109"/>
        <w:gridCol w:w="109"/>
        <w:gridCol w:w="196"/>
        <w:gridCol w:w="751"/>
        <w:gridCol w:w="109"/>
        <w:gridCol w:w="109"/>
        <w:gridCol w:w="109"/>
        <w:gridCol w:w="109"/>
        <w:gridCol w:w="199"/>
        <w:gridCol w:w="764"/>
        <w:gridCol w:w="159"/>
      </w:tblGrid>
      <w:tr>
        <w:trPr/>
        <w:tc>
          <w:tcPr>
            <w:tcW w:w="2509"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336,091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435,915</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493,226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589,068</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Liabilities related to future royalties and milestones, net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68,790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73,440</w:t>
            </w: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Liabilities related to future royalties and milestones, net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418,387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410,939</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contingencies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Ordinary shares, $0.000042 par value; 490,909,783 shares authorized as of June 30, 2026 and as of December 31, 2025; 266,150,040 and 266,143,286, shares issued at June 30, 2026 and December 31, 2025, respectively; 266,162,540 and 266,143,286, shares outstanding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Deferred shares, £0.00001 par value; 34,425 shares authorized, issued and outstanding at June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Deferred B shares, £0.00099 par value; 88,893,548 shares authorized, issued and outstanding at June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Deferred C shares, £0.000008 par value; 1 share authorized, issued and outstanding at June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1,570,107 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(1,386,752)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74,839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178,129</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493,226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589,068</w:t>
            </w:r>
            <w:r>
              <w:rPr>
                <w:color w:val="000000"/>
              </w:rPr>
              <w:t>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06"/>
        <w:gridCol w:w="664"/>
        <w:gridCol w:w="667"/>
        <w:gridCol w:w="109"/>
        <w:gridCol w:w="109"/>
        <w:gridCol w:w="109"/>
        <w:gridCol w:w="165"/>
        <w:gridCol w:w="165"/>
        <w:gridCol w:w="166"/>
        <w:gridCol w:w="109"/>
        <w:gridCol w:w="109"/>
        <w:gridCol w:w="109"/>
        <w:gridCol w:w="264"/>
        <w:gridCol w:w="922"/>
        <w:gridCol w:w="109"/>
        <w:gridCol w:w="109"/>
        <w:gridCol w:w="109"/>
        <w:gridCol w:w="109"/>
        <w:gridCol w:w="264"/>
        <w:gridCol w:w="922"/>
        <w:gridCol w:w="109"/>
        <w:gridCol w:w="109"/>
        <w:gridCol w:w="109"/>
        <w:gridCol w:w="109"/>
        <w:gridCol w:w="237"/>
        <w:gridCol w:w="949"/>
        <w:gridCol w:w="109"/>
        <w:gridCol w:w="109"/>
        <w:gridCol w:w="109"/>
        <w:gridCol w:w="109"/>
        <w:gridCol w:w="264"/>
        <w:gridCol w:w="922"/>
        <w:gridCol w:w="109"/>
        <w:gridCol w:w="157"/>
      </w:tblGrid>
      <w:tr>
        <w:trPr/>
        <w:tc>
          <w:tcPr>
            <w:tcW w:w="140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45,689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71,907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29,905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Cost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(43,838)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(61,217)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(103,351)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(126,457)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(38,646)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(47,520)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(109,381)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(115,458)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(39,111)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(47,917)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(110,709)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(118,081)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holding (losses) gains on available-for-sale debt securities, net of tax of $0, $0, $0 and $0,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18,968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30,036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(38,585)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(28,949)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(111,454)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(88,045)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ordinary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basic and diluted 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266,158,829 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266,141,411 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266,151,170 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266,134,021 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100" w:after="283"/>
        <w:jc w:val="center"/>
        <w:rPr>
          <w:rFonts w:ascii="Times New Roman;serif" w:hAnsi="Times New Roman;serif"/>
          <w:b/>
          <w:color w:val="000000"/>
          <w:sz w:val="20"/>
        </w:rPr>
      </w:pPr>
      <w:r>
        <w:rPr>
          <w:rFonts w:ascii="Times New Roman;serif" w:hAnsi="Times New Roman;serif"/>
          <w:b/>
          <w:color w:val="000000"/>
          <w:sz w:val="20"/>
        </w:rPr>
        <w:t xml:space="preserve">AUTOLUS THERAPEUTICS PLC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w:t>
      </w:r>
    </w:p>
    <w:p>
      <w:pPr>
        <w:pStyle w:val="TextBody"/>
        <w:bidi w:val="0"/>
        <w:spacing w:lineRule="auto" w:line="345" w:before="0" w:after="0"/>
        <w:jc w:val="center"/>
        <w:rPr/>
      </w:pPr>
      <w:r>
        <w:rPr>
          <w:rFonts w:ascii="Times New Roman;serif" w:hAnsi="Times New Roman;serif"/>
          <w:b w:val="false"/>
          <w:color w:val="000000"/>
          <w:sz w:val="18"/>
        </w:rPr>
        <w:t>(</w:t>
      </w:r>
      <w:r>
        <w:rPr>
          <w:rFonts w:ascii="Times New Roman;serif" w:hAnsi="Times New Roman;serif"/>
          <w:b w:val="false"/>
          <w:color w:val="000000"/>
          <w:sz w:val="20"/>
        </w:rPr>
        <w:t>Unaudited, i</w:t>
      </w:r>
      <w:r>
        <w:rPr>
          <w:rFonts w:ascii="Times New Roman;serif" w:hAnsi="Times New Roman;serif"/>
          <w:b w:val="false"/>
          <w:color w:val="000000"/>
          <w:sz w:val="18"/>
        </w:rPr>
        <w:t>n thousands, except share amounts)</w:t>
      </w:r>
    </w:p>
    <w:tbl>
      <w:tblPr>
        <w:tblW w:w="16209" w:type="dxa"/>
        <w:jc w:val="center"/>
        <w:tblInd w:w="0" w:type="dxa"/>
        <w:tblLayout w:type="fixed"/>
        <w:tblCellMar>
          <w:top w:w="28" w:type="dxa"/>
          <w:left w:w="28" w:type="dxa"/>
          <w:bottom w:w="28" w:type="dxa"/>
          <w:right w:w="28" w:type="dxa"/>
        </w:tblCellMar>
      </w:tblPr>
      <w:tblGrid>
        <w:gridCol w:w="634"/>
        <w:gridCol w:w="268"/>
        <w:gridCol w:w="269"/>
        <w:gridCol w:w="533"/>
        <w:gridCol w:w="533"/>
        <w:gridCol w:w="196"/>
        <w:gridCol w:w="109"/>
        <w:gridCol w:w="109"/>
        <w:gridCol w:w="109"/>
        <w:gridCol w:w="208"/>
        <w:gridCol w:w="367"/>
        <w:gridCol w:w="116"/>
        <w:gridCol w:w="109"/>
        <w:gridCol w:w="109"/>
        <w:gridCol w:w="109"/>
        <w:gridCol w:w="330"/>
        <w:gridCol w:w="331"/>
        <w:gridCol w:w="196"/>
        <w:gridCol w:w="109"/>
        <w:gridCol w:w="109"/>
        <w:gridCol w:w="109"/>
        <w:gridCol w:w="196"/>
        <w:gridCol w:w="406"/>
        <w:gridCol w:w="109"/>
        <w:gridCol w:w="109"/>
        <w:gridCol w:w="109"/>
        <w:gridCol w:w="109"/>
        <w:gridCol w:w="488"/>
        <w:gridCol w:w="488"/>
        <w:gridCol w:w="196"/>
        <w:gridCol w:w="109"/>
        <w:gridCol w:w="109"/>
        <w:gridCol w:w="109"/>
        <w:gridCol w:w="196"/>
        <w:gridCol w:w="436"/>
        <w:gridCol w:w="109"/>
        <w:gridCol w:w="109"/>
        <w:gridCol w:w="109"/>
        <w:gridCol w:w="109"/>
        <w:gridCol w:w="203"/>
        <w:gridCol w:w="203"/>
        <w:gridCol w:w="196"/>
        <w:gridCol w:w="109"/>
        <w:gridCol w:w="109"/>
        <w:gridCol w:w="109"/>
        <w:gridCol w:w="196"/>
        <w:gridCol w:w="406"/>
        <w:gridCol w:w="109"/>
        <w:gridCol w:w="109"/>
        <w:gridCol w:w="109"/>
        <w:gridCol w:w="109"/>
        <w:gridCol w:w="196"/>
        <w:gridCol w:w="886"/>
        <w:gridCol w:w="109"/>
        <w:gridCol w:w="109"/>
        <w:gridCol w:w="109"/>
        <w:gridCol w:w="109"/>
        <w:gridCol w:w="262"/>
        <w:gridCol w:w="763"/>
        <w:gridCol w:w="146"/>
        <w:gridCol w:w="109"/>
        <w:gridCol w:w="109"/>
        <w:gridCol w:w="109"/>
        <w:gridCol w:w="196"/>
        <w:gridCol w:w="886"/>
        <w:gridCol w:w="109"/>
        <w:gridCol w:w="327"/>
        <w:gridCol w:w="203"/>
        <w:gridCol w:w="778"/>
        <w:gridCol w:w="160"/>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B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C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266,143,286</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1,570,107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(5,356)</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(1,386,752)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178,129</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3,566 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(71,598)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266,143,286</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1,573,673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(6,627)</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(1,458,350)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108,826</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4,595 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share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10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266,150,040</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1,578,271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(6,101)</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(1,497,461)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74,839</w:t>
            </w:r>
            <w:r>
              <w:rPr>
                <w:color w:val="000000"/>
              </w:rPr>
              <w:t>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tbl>
      <w:tblPr>
        <w:tblW w:w="16209" w:type="dxa"/>
        <w:jc w:val="center"/>
        <w:tblInd w:w="0" w:type="dxa"/>
        <w:tblLayout w:type="fixed"/>
        <w:tblCellMar>
          <w:top w:w="28" w:type="dxa"/>
          <w:left w:w="28" w:type="dxa"/>
          <w:bottom w:w="28" w:type="dxa"/>
          <w:right w:w="28" w:type="dxa"/>
        </w:tblCellMar>
      </w:tblPr>
      <w:tblGrid>
        <w:gridCol w:w="634"/>
        <w:gridCol w:w="268"/>
        <w:gridCol w:w="269"/>
        <w:gridCol w:w="533"/>
        <w:gridCol w:w="533"/>
        <w:gridCol w:w="196"/>
        <w:gridCol w:w="109"/>
        <w:gridCol w:w="109"/>
        <w:gridCol w:w="109"/>
        <w:gridCol w:w="208"/>
        <w:gridCol w:w="367"/>
        <w:gridCol w:w="116"/>
        <w:gridCol w:w="109"/>
        <w:gridCol w:w="109"/>
        <w:gridCol w:w="109"/>
        <w:gridCol w:w="330"/>
        <w:gridCol w:w="331"/>
        <w:gridCol w:w="196"/>
        <w:gridCol w:w="109"/>
        <w:gridCol w:w="109"/>
        <w:gridCol w:w="109"/>
        <w:gridCol w:w="196"/>
        <w:gridCol w:w="406"/>
        <w:gridCol w:w="109"/>
        <w:gridCol w:w="109"/>
        <w:gridCol w:w="109"/>
        <w:gridCol w:w="109"/>
        <w:gridCol w:w="488"/>
        <w:gridCol w:w="488"/>
        <w:gridCol w:w="196"/>
        <w:gridCol w:w="109"/>
        <w:gridCol w:w="109"/>
        <w:gridCol w:w="109"/>
        <w:gridCol w:w="196"/>
        <w:gridCol w:w="436"/>
        <w:gridCol w:w="109"/>
        <w:gridCol w:w="109"/>
        <w:gridCol w:w="109"/>
        <w:gridCol w:w="109"/>
        <w:gridCol w:w="203"/>
        <w:gridCol w:w="203"/>
        <w:gridCol w:w="196"/>
        <w:gridCol w:w="109"/>
        <w:gridCol w:w="109"/>
        <w:gridCol w:w="109"/>
        <w:gridCol w:w="196"/>
        <w:gridCol w:w="406"/>
        <w:gridCol w:w="109"/>
        <w:gridCol w:w="109"/>
        <w:gridCol w:w="109"/>
        <w:gridCol w:w="109"/>
        <w:gridCol w:w="196"/>
        <w:gridCol w:w="886"/>
        <w:gridCol w:w="109"/>
        <w:gridCol w:w="109"/>
        <w:gridCol w:w="109"/>
        <w:gridCol w:w="109"/>
        <w:gridCol w:w="237"/>
        <w:gridCol w:w="801"/>
        <w:gridCol w:w="133"/>
        <w:gridCol w:w="109"/>
        <w:gridCol w:w="109"/>
        <w:gridCol w:w="109"/>
        <w:gridCol w:w="196"/>
        <w:gridCol w:w="886"/>
        <w:gridCol w:w="109"/>
        <w:gridCol w:w="327"/>
        <w:gridCol w:w="203"/>
        <w:gridCol w:w="778"/>
        <w:gridCol w:w="160"/>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B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C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266,121,689</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1,555,593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(29,174)</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(1,099,224)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427,325</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 awards net of shares withheld to cover tax withholding</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(70,161)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266,125,337</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1,558,469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(18,106)</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(1,169,385)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371,108</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6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4,305 </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 awards net of shares withheld to cover tax withholding</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0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266,137,837</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1,562,774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862</w:t>
            </w:r>
            <w:r>
              <w:rPr>
                <w:color w:val="000000"/>
              </w:rPr>
              <w:t>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(1,217,302)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346,464</w:t>
            </w:r>
            <w:r>
              <w:rPr>
                <w:color w:val="000000"/>
              </w:rPr>
              <w:t>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9774" w:type="dxa"/>
        <w:jc w:val="center"/>
        <w:tblInd w:w="0" w:type="dxa"/>
        <w:tblLayout w:type="fixed"/>
        <w:tblCellMar>
          <w:top w:w="28" w:type="dxa"/>
          <w:left w:w="28" w:type="dxa"/>
          <w:bottom w:w="28" w:type="dxa"/>
          <w:right w:w="28" w:type="dxa"/>
        </w:tblCellMar>
      </w:tblPr>
      <w:tblGrid>
        <w:gridCol w:w="2597"/>
        <w:gridCol w:w="2278"/>
        <w:gridCol w:w="2295"/>
        <w:gridCol w:w="196"/>
        <w:gridCol w:w="811"/>
        <w:gridCol w:w="109"/>
        <w:gridCol w:w="109"/>
        <w:gridCol w:w="109"/>
        <w:gridCol w:w="109"/>
        <w:gridCol w:w="196"/>
        <w:gridCol w:w="811"/>
        <w:gridCol w:w="154"/>
      </w:tblGrid>
      <w:tr>
        <w:trPr/>
        <w:tc>
          <w:tcPr>
            <w:tcW w:w="2597"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on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reserves and write-offs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net of amounts capitalized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accrued on liabilities related to future royalties and milestones,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available-for-sale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differences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operating lease right-of-use assets and related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prepaid expenses and other non-current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inventories,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accounts receivable,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(Decrease) increase in 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accrued expenses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operating lease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(90,386)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(148,346)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 available-for-sale debt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and redemptions of marketable securities: available-for-sale debt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Net cash provided by investing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164,051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36,368</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Proceeds from the exercise of share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Payments of liabilities related to future royalties and milestones, net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67,274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(103,473)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Cash, cash equivalents and restricted cash,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105,636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228,805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172,910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125,332</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100" w:after="283"/>
        <w:ind w:left="0" w:right="0" w:firstLine="72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657"/>
        <w:gridCol w:w="2281"/>
        <w:gridCol w:w="2287"/>
        <w:gridCol w:w="211"/>
        <w:gridCol w:w="841"/>
        <w:gridCol w:w="109"/>
        <w:gridCol w:w="109"/>
        <w:gridCol w:w="109"/>
        <w:gridCol w:w="109"/>
        <w:gridCol w:w="211"/>
        <w:gridCol w:w="841"/>
        <w:gridCol w:w="109"/>
        <w:gridCol w:w="109"/>
        <w:gridCol w:w="222"/>
      </w:tblGrid>
      <w:tr>
        <w:trPr/>
        <w:tc>
          <w:tcPr>
            <w:tcW w:w="2657"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31" w:type="dxa"/>
            <w:gridSpan w:val="2"/>
            <w:tcBorders/>
          </w:tcPr>
          <w:p>
            <w:pPr>
              <w:pStyle w:val="TableContents"/>
              <w:bidi w:val="0"/>
              <w:spacing w:before="0" w:after="283"/>
              <w:jc w:val="left"/>
              <w:rPr>
                <w:sz w:val="4"/>
                <w:szCs w:val="4"/>
              </w:rPr>
            </w:pPr>
            <w:r>
              <w:rPr>
                <w:sz w:val="4"/>
                <w:szCs w:val="4"/>
              </w:rPr>
            </w:r>
          </w:p>
        </w:tc>
      </w:tr>
      <w:tr>
        <w:trPr/>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Unaudited supplemental cash flow information</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Unaudited supplemental non-cash flow information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ind w:left="0" w:right="0" w:firstLine="90"/>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purchases included in accounts payable or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Capitalized implementation costs included in 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reported within the consolidated balance sheets: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172,910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125,332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345"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Interim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Nature of the Business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Autolus Therapeutics plc (with its subsidiaries, collectively, “Autolus” or the “Company”) is a commercial-stage biopharmaceutical company developing next-generation programmed T cell therapies for the treatment of cancer and autoimmune diseases. Using its broad suite of proprietary and modular T cell programming technologies, the Company is engineering precisely targeted, controlled and highly active T cell therapies that are designed to better recognize target cells, break down their defense mechanisms and attack and kill these cells. The Company believes its programmed T cell therapies have the potential to be best-in- class and to offer patients substantial benefits over the existing standard of care, including the potential for cure in some patients.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8, 2024 Autolus was notified by the United States Food and Drug Administration (the “FDA”) that its biologics license application (“BLA”) was approved, allowing for the marketing of AUCATZYL (obecabtagene autoleucel, also known as obe-cel) in the United States for the treatment of adult patients (18 years and older) with r/r B-ALL. The first sale of AUCATZYL in the United States occurred in January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United Kingdom Medicines and Healthcare products Regulatory Agency granted AUCATZYL conditional marketing authorization in April 2025. In November 2025, the National Institute for Health and Care Excellence recommended AUCATZYL for use in the National Health Service (“NHS”) in England and Wales as a treatment option for adult patients (age 26 and older) with r/r B-ALL. We launched AUCATZYL in the United Kingdom in January 2026, and it is available through routine commissioning by the NHS.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European Commission granted marketing authorization for AUCATZYL in adult patients (age 26 and older) with r/r B-ALL. Evaluation of potential pricing and feasibility of market entry opportunities in certain EU countries is ongoing. At this time, the EU launch, including launch in Germany, is on hold. The Company did not generate any EU product revenue of AUCATZYL in 2025 and does not anticipate any EU product revenue in 2026.</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Autolus is registered in England and Wales. Its registered office is The MediaWorks, 191 Wood Lane, London, W12 7FP, United Kingdom.</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risks and uncertainties common to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The Company’s product candidates currently under development will require significant additional research and development efforts, including preclinical and clinical testing and regulatory approval, prior to commercialization. The Company also expects to incur significant additional costs as it expands its commercialization efforts for AUCATZYL. These efforts will require significant amounts of capital, as well as additional personnel, infrastructure, and compliance capabilities. Even if the Company’s product development efforts for obe-cel and its other product candidates are successful, it is uncertain when, if ever, the Company will become profitable.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public limited company incorporated under the laws of England and Wales, and qualifies as a “foreign private issuer,” as such term is defined in Rule 405 under the Securities Act of 1933, as amended (the “Securities Act”), and Rule 3b-4 under the Exchange Act, and, therefore, is not subject to the same requirements that are imposed upon United States domestic issuers by the Securities and Exchange Commission (the “SEC”). The Company has decided to voluntarily file periodic reports, such as annual reports on Form 10-K, quarterly reports on Form 10-Q, and current reports on Form 8-K on United States domestic issuer forms, which are more detailed and extensive in certain respects, and which must be filed more promptly than the forms currently required for foreign private issuers. Although the Company has voluntarily chosen to file periodic reports and current reports on United States domestic issuer forms, the Company has maintained its status as a foreign private issuer and is not subject to certain other requirements imposed on United States domestic issuers.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36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interim financial statements of the Company have been prepared in accordance with generally accepted accounting principles in the United States (“U.S. GAAP”) for interim financial information and with the instructions to Form 10-Q and Article 10 of Regulation S-X, and are presented in US dollars. Accordingly, they do not include all of the information and footnotes required by generally accepted accounting principles for complete financial statements.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at December 31, 2025, has been derived from the audited consolidated financial statements at that date but does not include all of the information and footnotes required by generally accepted accounting principles for complete financial statements.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significant accounting policies used in the preparation of these unaudited condensed consolidated interim financial statements are consistent with those discussed in Note 2, “Summary of Significant Accounting Policies” in the Company’s Annual Report on Form 10-K for the year ended December 31, 2025, as filed with the SEC on March 27, 2026 (the “Annual Report”). The information included in these unaudited condensed consolidated interim financial statements should be read in conjunction with the audited consolidated financial statements and the related notes thereto as of and for the year ended December 31, 2025, included in the Annual Report.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interim financial statements include all adjustments, consisting of normal recurring adjustments, which, in the opinion of management, are necessary to fairly state the Company’s financial position as of June 30, 2026, and the results of its operation for the three-month and six-month period ended June 30, 2026, and cash flows for the six-month period ended June 30, 2026. The interim results and cash flows are not necessarily indicative of results and cash flows that may be expected for the year ending December 31,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Financial Accounting Standards Board’s (“FASB”) Accounting Standards Codification (“ASC”) Topic 205-40, Going Concern, the Company has evaluated whether there are conditions or events, considered in the aggregate, that raise substantial doubt about the Company’s ability to continue as a going concern within one year after the date that the condensed consolidated financial statements are issued.</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recurring losses since its inception, including net losses of $39.1 million and $47.9 million for the three months ended June 30, 2026 and 2025, respectively and $110.7 million and $118.1 million for the six months ended June 30, 2026 and 2025, respectively. The Company had an accumulated deficit of $1,497.5 million and $1,386.8 million as of June 30, 2026 and December 31, 2025, respectively.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these conditions, based on its cash and cash equivalents and marketable securities of $171.4 million and $30.2 million, respectively, as of June 30, 2026, together with the $75.0 million received from its Notes Facility with Perceptive Advisors (“Perceptive”) in July 2026, the Company expects that its existing financial resources will be sufficient to fund its operations for at least one year from the date these condensed consolidated financial statements are issued. Accordingly, management has concluded that there are no conditions or events, considered in the aggregate, that raise substantial doubt about the Company’s ability to continue as a going concern within one year after the date that these condensed consolidated financial statements are issued.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performing this assessment, the Company prepared cash flow forecasts for the one-year period from the date of issuance, which reflect management’s current operating plan and expectations. These forecasts include assumptions regarding increases in product revenues and gross margin, cost reductions resulting from the restructuring actions announced in April 2026 and the expected timing of cash inflows from R&amp;D tax credits. These assumptions are subject to uncertainty due to numerous factors, including the Company’s limited sales history following its recent product launches in the U.S. and U.K., its ability to obtain cost reductions, and other factors outside the Company’s control. While management believes these assumptions are reasonable, actual results may differ, and the Company may use its cash resources sooner than currently expected.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funded its operations to date primarily with proceeds from government grants, sales of its equity securities, including ADSs, through public offerings and pursuant to our at-the-market equity facility, through U.K. research and development tax credits and receipts from the SME and RDEC schemes, out-licensing arrangements, strategic collaboration agreements and sale of its commercial product. The Company expects to continue to incur losses for the foreseeable future as it advances the development, approval, and commercialization of its product candidates. While the Company may require additional capital to support its operating plans and achieve profitability, such funding is not expected to be required to meet its obligations as they become due within one year from the date these condensed consolidated financial statements are issued.</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The preparation of condensed consolidated interim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income and expenses during the reporting periods. Significant estimates and assumptions reflected in these condensed consolidated interim financial statements include, but are not limited to, the accrual for research and development expenses, income taxes and present value of liabilities related to future royalties and milestones, net including the related interest expense and cumulative catch-up adjustment, incremental borrowing rates related to the Company</w:t>
      </w:r>
      <w:r>
        <w:rPr>
          <w:color w:val="000000"/>
          <w:shd w:fill="FFFFFF" w:val="clear"/>
        </w:rPr>
        <w:t>’</w:t>
      </w:r>
      <w:r>
        <w:rPr>
          <w:rFonts w:ascii="Times New Roman;serif" w:hAnsi="Times New Roman;serif"/>
          <w:b w:val="false"/>
          <w:color w:val="000000"/>
          <w:sz w:val="20"/>
        </w:rPr>
        <w:t>s leased properties, and the estimated expected rebate and chargeback percentage for revenue deductions related to product revenue, net. Estimates are periodically reviewed in light of changes in circumstances, facts and experience. Actual results could differ from those estimates.</w:t>
      </w:r>
    </w:p>
    <w:p>
      <w:pPr>
        <w:pStyle w:val="TextBody"/>
        <w:bidi w:val="0"/>
        <w:spacing w:lineRule="auto" w:line="268" w:before="240" w:after="12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Executive Committee, which includes its Chief Executive Officer, is its chief operating decision maker (the “CODM”). The CODM manages the Company’s operations on an integrated basis for the purpose of appropriately allocating resources. When evaluating the Company’s financial performance, the CODM reviews total revenue, total expenses and expenses by function and makes decisions using this information on a global basis. The Company and the CODM view the Company’s operations and manage its business as a single operating and reportable segment, which is the business of developing and commercializing CAR T therapies. </w:t>
      </w:r>
    </w:p>
    <w:p>
      <w:pPr>
        <w:pStyle w:val="TextBody"/>
        <w:bidi w:val="0"/>
        <w:spacing w:lineRule="auto" w:line="268" w:before="240" w:after="120"/>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76"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Product revenue</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three-month and six-month period ended June 30, 2025, the Company’s product revenue, net was solely comprised of sales of AUCATZYL in the U.S. The Company uses Cardinal Health 105, LLC (“Cardinal Health”) as an agent to deliver the Company’s product, AUCATZYL, to Authorized Treatment Centers (“ATC”). The ATCs are responsible for the treatment of the patient including infusion of the product which occurs in two separate doses. Cardinal Health is obligated to pay the Company for the product upon the delivery and acceptance of the product at the ATC within standard payment terms. Each ATC is obligated to pay Cardinal Health for the product upon receipt and acceptance of the product and is entitled to a credit in certain circumstances, including when the patient is not administered one or both doses.</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launched AUCATZYL in the U.K. in January 2026. Consequently, the Company's product revenue, net now includes sales of AUCATZYL in the U.S. and U.K.. AUCATZYL is available through the National Health Service (“NHS”) and private treatment centers.</w:t>
      </w:r>
    </w:p>
    <w:p>
      <w:pPr>
        <w:pStyle w:val="TextBody"/>
        <w:bidi w:val="0"/>
        <w:spacing w:lineRule="auto" w:line="276" w:before="120" w:after="283"/>
        <w:ind w:left="0" w:right="0" w:firstLine="720"/>
        <w:jc w:val="both"/>
        <w:rPr/>
      </w:pPr>
      <w:r>
        <w:rPr>
          <w:rFonts w:ascii="Times New Roman;serif" w:hAnsi="Times New Roman;serif"/>
          <w:b w:val="false"/>
          <w:color w:val="000000"/>
          <w:sz w:val="20"/>
        </w:rPr>
        <w:t xml:space="preserve">The Company accounts for product revenues pursuant to the provisions of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Under ASC 606, the Company recognizes revenue when the customer obtains control of promised goods or services, in an amount that reflects the consideration that the entity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to which it is entitled in exchange for the goods or services it transfers to the customer.</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determined that the patient is the customer in the arrangement pursuant to ASC 606. The Company has identified a single performance obligation, which is satisfied when the patient has received its second (final) dose of the product, and it records an accounts receivable on the balance sheet when product sales are invoiced and the final dose of the product has been administered to the patient. </w:t>
      </w:r>
    </w:p>
    <w:p>
      <w:pPr>
        <w:pStyle w:val="TextBody"/>
        <w:bidi w:val="0"/>
        <w:spacing w:lineRule="auto" w:line="276"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Gross-to-net deductions</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revenue, net of gross-to-net deductions, is recognized only to the extent that a significant reversal in the amount of cumulative revenue recognized is not probable of occurring when the uncertainty associated with gross-to-net deductions is subsequently resolved. In the United States, product revenue is recognized net of estimated rebates and chargebacks, patient travel assistance and patient co-pay assistance deductions. These deductions to product revenue are referred to as gross-to-net deductions and are estimated and recorded in the period in which the related product revenue occurs. Currently there are no such deductions for sales outside of the United States.</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120" w:after="283"/>
        <w:ind w:left="0" w:right="0" w:firstLine="720"/>
        <w:jc w:val="both"/>
        <w:rPr/>
      </w:pPr>
      <w:r>
        <w:rPr/>
      </w:r>
    </w:p>
    <w:p>
      <w:pPr>
        <w:pStyle w:val="TextBody"/>
        <w:bidi w:val="0"/>
        <w:spacing w:lineRule="auto" w:line="288" w:before="120" w:after="283"/>
        <w:ind w:left="0" w:right="0" w:firstLine="720"/>
        <w:jc w:val="both"/>
        <w:rPr/>
      </w:pPr>
      <w:r>
        <w:rPr>
          <w:rFonts w:ascii="Times New Roman;serif" w:hAnsi="Times New Roman;serif"/>
          <w:b w:val="false"/>
          <w:i/>
          <w:color w:val="000000"/>
          <w:sz w:val="20"/>
        </w:rPr>
        <w:t>Rebates and chargeback</w:t>
      </w:r>
      <w:r>
        <w:rPr>
          <w:rFonts w:ascii="Times New Roman;serif" w:hAnsi="Times New Roman;serif"/>
          <w:b w:val="false"/>
          <w:color w:val="000000"/>
          <w:sz w:val="20"/>
        </w:rPr>
        <w: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Rebates and chargebacks are based on contractual arrangements or statutory requirements and include amounts due to payors and healthcare providers under various programs. These amounts may vary by payor and individual plans. Providers qualified under certain programs can purchase the Company’s products through the Company’s third-party logistics partner at a discount. The Company’s third-party logistics partner then charge the discount back to the Company.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rebates and chargebacks are estimated primarily based on product sales, including pricing, historical and estimated payor mix, setting of care and discount rates, among other inputs, which require significant estimates and judgment. The Company assesses and updates its estimates each reporting period to reflect actual claims and other current information.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the chargebacks the Company participates in for covered entities under the 340B Program, the Department of Defense (DoD), and the Department of Veteran Affairs (VA), whereby pricing on products is extended below list price to participating entities. These entities purchase products at the lower program price then charge the Company the difference between their acquisition cost and the lower program price. The price differential is accrued for as part of the gross to net liabilities and will be reflected as a reduction to accounts receivable, net when actual chargeback is processed and applied. Currently there are no such chargebacks for sales outside of the United States.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the rebates the Company participates in are state government Medicaid programs and the TriCare program. All discounts and rebates provided through these programs are included in the Company’s Medicaid and TriCare rebate accrual. The estimated amount of unpaid or unbilled rebates are recognized and presented as a liability. Currently there are no such rebates for sales outside of the United States.</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Patient Co-Pay Assistance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provide co-pay or other financial assistance to patients, such as travel and lodging reimbursement, which are treated as consideration payable to a customer and recorded as a reduction to product sales based on an estimate of the amounts to be paid at the time revenue is recognized.</w:t>
      </w:r>
    </w:p>
    <w:p>
      <w:pPr>
        <w:pStyle w:val="TextBody"/>
        <w:bidi w:val="0"/>
        <w:spacing w:lineRule="auto" w:line="268" w:before="240" w:after="120"/>
        <w:jc w:val="both"/>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reporting currency of the Company is in U.S. dollars. The Company has determined that its functional currency of the ultimate parent company, Autolus Therapeutics plc, is British Pound Sterling. The functional currency of each subsidiary’s operations is the applicable local currency. Monetary assets and liabilities denominated in currencies other than the Company’s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Translation adjustments are not included in determining net income (loss) but are included in foreign currency translation to other comprehensive loss, a component of shareholders’ equity.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foreign exchange gains of $0.5 million and $1.5 million for the three months ended June 30, 2026 and 2025, respectively, and foreign exchange losses of $2.2 million and foreign exchange gain of $2.7 million for the six months ended June 30, 2026 and 2025, respectively, which are included in foreign exchange gains (losses), net in the unaudited condensed consolidated statements of operations and comprehensive loss.</w:t>
      </w:r>
    </w:p>
    <w:p>
      <w:pPr>
        <w:pStyle w:val="TextBody"/>
        <w:bidi w:val="0"/>
        <w:spacing w:lineRule="auto" w:line="268" w:before="240" w:after="120"/>
        <w:jc w:val="both"/>
        <w:rPr>
          <w:rFonts w:ascii="Times New Roman;serif" w:hAnsi="Times New Roman;serif"/>
          <w:b/>
          <w:i/>
          <w:color w:val="000000"/>
          <w:sz w:val="20"/>
        </w:rPr>
      </w:pPr>
      <w:r>
        <w:rPr>
          <w:rFonts w:ascii="Times New Roman;serif" w:hAnsi="Times New Roman;serif"/>
          <w:b/>
          <w:i/>
          <w:color w:val="000000"/>
          <w:sz w:val="20"/>
        </w:rPr>
        <w:t>Workforce Reduction Costs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costs associated with employee terminations in which the employee is subject to an existing benefit arrangement, the post-employment benefits are recognized when probable and estimable. Other employee termination costs are measured and recognized on the communication date, unless there is a required future service period, in which case, the expense is recognized over the service period.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Termination liabilities are measured at the amount of the expected future cash payments and are included in Accrued expenses and other liabilities in the Consolidated Balance Sheet. Payments reduce the liability as they are made. Changes in estimates resulting from revisions to the restructuring plan or the estimated termination benefits are recognized in earnings in the period the changes become known.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Termination costs are presented within Selling, general and administrative expenses in the Consolidated Statements of Operations.</w:t>
      </w:r>
    </w:p>
    <w:p>
      <w:pPr>
        <w:pStyle w:val="TextBody"/>
        <w:bidi w:val="0"/>
        <w:spacing w:before="24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240" w:after="120"/>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68" w:before="120" w:after="283"/>
        <w:ind w:left="0" w:right="0" w:firstLine="720"/>
        <w:jc w:val="both"/>
        <w:rPr/>
      </w:pPr>
      <w:r>
        <w:rPr>
          <w:rFonts w:ascii="Times New Roman;serif" w:hAnsi="Times New Roman;serif"/>
          <w:b w:val="false"/>
          <w:color w:val="212529"/>
          <w:sz w:val="20"/>
        </w:rPr>
        <w:t xml:space="preserve">In December 2025, the </w:t>
      </w:r>
      <w:r>
        <w:rPr>
          <w:rFonts w:ascii="Times New Roman;serif" w:hAnsi="Times New Roman;serif"/>
          <w:b w:val="false"/>
          <w:color w:val="000000"/>
          <w:sz w:val="20"/>
        </w:rPr>
        <w:t>Financial Accounting Standards Board (the “FASB”) issued the Accounting Standards Update (“ASU”)</w:t>
      </w:r>
      <w:r>
        <w:rPr>
          <w:color w:val="212529"/>
        </w:rPr>
        <w:t xml:space="preserve"> </w:t>
      </w:r>
      <w:r>
        <w:rPr>
          <w:rFonts w:ascii="Times New Roman;serif" w:hAnsi="Times New Roman;serif"/>
          <w:b w:val="false"/>
          <w:color w:val="212529"/>
          <w:sz w:val="20"/>
        </w:rPr>
        <w:t xml:space="preserve">2025-12, </w:t>
      </w:r>
      <w:r>
        <w:rPr>
          <w:rFonts w:ascii="Times New Roman;serif" w:hAnsi="Times New Roman;serif"/>
          <w:b w:val="false"/>
          <w:i/>
          <w:color w:val="212529"/>
          <w:sz w:val="20"/>
        </w:rPr>
        <w:t>Codification Improvements</w:t>
      </w:r>
      <w:r>
        <w:rPr>
          <w:color w:val="212529"/>
        </w:rPr>
        <w:t xml:space="preserve"> </w:t>
      </w:r>
      <w:r>
        <w:rPr>
          <w:rFonts w:ascii="Times New Roman;serif" w:hAnsi="Times New Roman;serif"/>
          <w:b w:val="false"/>
          <w:color w:val="212529"/>
          <w:sz w:val="20"/>
        </w:rPr>
        <w:t xml:space="preserve">that represent changes to the Codification that (1) clarify, (2) correct errors, or (3) make minor improvements. The amendments make the Codification easier to understand and apply. The ASU is effective for all entities for annual reporting periods beginning after December 15, 2026, and interim reporting periods within those annual reporting periods. </w:t>
      </w:r>
      <w:r>
        <w:rPr>
          <w:rFonts w:ascii="Times New Roman;serif" w:hAnsi="Times New Roman;serif"/>
          <w:b w:val="false"/>
          <w:color w:val="000000"/>
          <w:sz w:val="20"/>
        </w:rPr>
        <w:t>This ASU is not expected to have a material effect on the Company’s consolidated financial statements and related disclosures.</w:t>
      </w:r>
    </w:p>
    <w:p>
      <w:pPr>
        <w:pStyle w:val="TextBody"/>
        <w:bidi w:val="0"/>
        <w:spacing w:lineRule="auto" w:line="268" w:before="120" w:after="283"/>
        <w:ind w:left="0" w:right="0" w:firstLine="720"/>
        <w:jc w:val="both"/>
        <w:rPr/>
      </w:pPr>
      <w:r>
        <w:rPr>
          <w:rFonts w:ascii="Times New Roman;serif" w:hAnsi="Times New Roman;serif"/>
          <w:b w:val="false"/>
          <w:color w:val="212529"/>
          <w:sz w:val="20"/>
        </w:rPr>
        <w:t xml:space="preserve">In December 2025, the FASB issued ASU 2025-11, </w:t>
      </w:r>
      <w:r>
        <w:rPr>
          <w:rFonts w:ascii="Times New Roman;serif" w:hAnsi="Times New Roman;serif"/>
          <w:b w:val="false"/>
          <w:i/>
          <w:color w:val="212529"/>
          <w:sz w:val="20"/>
        </w:rPr>
        <w:t>Interim Reporting (Topic 270): Narrow-Scope Improvements</w:t>
      </w:r>
      <w:r>
        <w:rPr>
          <w:color w:val="212529"/>
        </w:rPr>
        <w:t xml:space="preserve"> </w:t>
      </w:r>
      <w:r>
        <w:rPr>
          <w:rFonts w:ascii="Times New Roman;serif" w:hAnsi="Times New Roman;serif"/>
          <w:b w:val="false"/>
          <w:color w:val="212529"/>
          <w:sz w:val="20"/>
        </w:rPr>
        <w:t xml:space="preserve">to clarify interim disclosure requirements and the applicability of Topic 270, </w:t>
      </w:r>
      <w:r>
        <w:rPr>
          <w:rFonts w:ascii="Times New Roman;serif" w:hAnsi="Times New Roman;serif"/>
          <w:b w:val="false"/>
          <w:i/>
          <w:color w:val="212529"/>
          <w:sz w:val="20"/>
        </w:rPr>
        <w:t>Interim Reporting</w:t>
      </w:r>
      <w:r>
        <w:rPr>
          <w:rFonts w:ascii="Times New Roman;serif" w:hAnsi="Times New Roman;serif"/>
          <w:b w:val="false"/>
          <w:color w:val="212529"/>
          <w:sz w:val="20"/>
        </w:rPr>
        <w:t xml:space="preserve">. The ASU is effective for interim reporting periods within annual reporting periods beginning after December 15, 2027, for public business entities and for interim reporting periods within annual reporting periods beginning after December 15, 2028, for entities other than public business entities. </w:t>
      </w:r>
      <w:r>
        <w:rPr>
          <w:rFonts w:ascii="Times New Roman;serif" w:hAnsi="Times New Roman;serif"/>
          <w:b w:val="false"/>
          <w:color w:val="000000"/>
          <w:sz w:val="20"/>
        </w:rPr>
        <w:t xml:space="preserve">The Company is currently evaluating the impact this new accounting will have on its consolidated financial statements and disclosures. </w:t>
      </w:r>
    </w:p>
    <w:p>
      <w:pPr>
        <w:pStyle w:val="TextBody"/>
        <w:bidi w:val="0"/>
        <w:spacing w:lineRule="auto" w:line="268" w:before="120" w:after="283"/>
        <w:ind w:left="0" w:right="0" w:firstLine="720"/>
        <w:jc w:val="both"/>
        <w:rPr/>
      </w:pPr>
      <w:r>
        <w:rPr>
          <w:rFonts w:ascii="Times New Roman;serif" w:hAnsi="Times New Roman;serif"/>
          <w:b w:val="false"/>
          <w:color w:val="000000"/>
          <w:sz w:val="20"/>
        </w:rPr>
        <w:t>In September 2025, the FASB issued ASU 2025-06—</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 xml:space="preserve">to remove all references to prescriptive and sequential software development stages (referred to as “project stages”) throughout Subtopic 350-40. The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this new accounting will have on its consolidated financial statements and disclosures. </w:t>
      </w:r>
    </w:p>
    <w:p>
      <w:pPr>
        <w:pStyle w:val="TextBody"/>
        <w:bidi w:val="0"/>
        <w:spacing w:lineRule="auto" w:line="288" w:before="120" w:after="283"/>
        <w:ind w:left="0" w:right="0" w:firstLine="720"/>
        <w:jc w:val="both"/>
        <w:rPr/>
      </w:pPr>
      <w:r>
        <w:rPr>
          <w:rFonts w:ascii="Times New Roman;serif" w:hAnsi="Times New Roman;serif"/>
          <w:b w:val="false"/>
          <w:color w:val="000000"/>
          <w:sz w:val="20"/>
        </w:rPr>
        <w:t>In July 2025, the FASB issued ASU 2025-05—</w:t>
      </w:r>
      <w:r>
        <w:rPr>
          <w:rFonts w:ascii="Times New Roman;serif" w:hAnsi="Times New Roman;serif"/>
          <w:b w:val="false"/>
          <w:i/>
          <w:color w:val="000000"/>
          <w:sz w:val="20"/>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20"/>
        </w:rPr>
        <w:t>to provide all entities with a practical expedient and entities other than public business entities with an accounting policy election when estimating expected credit losses for current accounts receivable and current contract assets arising from transactions accounted for under Topic 606. The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adoption of ASU 2025-05 in the current period has not had a material effect on the Company’s consolidated financial statements and related disclosures.</w:t>
      </w:r>
    </w:p>
    <w:p>
      <w:pPr>
        <w:pStyle w:val="TextBody"/>
        <w:bidi w:val="0"/>
        <w:spacing w:lineRule="auto" w:line="268" w:before="120" w:after="283"/>
        <w:ind w:left="0" w:right="0" w:firstLine="720"/>
        <w:jc w:val="both"/>
        <w:rPr/>
      </w:pPr>
      <w:r>
        <w:rPr>
          <w:rFonts w:ascii="Times New Roman;serif" w:hAnsi="Times New Roman;serif"/>
          <w:b w:val="false"/>
          <w:color w:val="000000"/>
          <w:sz w:val="20"/>
        </w:rPr>
        <w:t>In January 2025, the FASB issued ASU 2025-01—</w:t>
      </w:r>
      <w:r>
        <w:rPr>
          <w:rFonts w:ascii="Times New Roman;serif" w:hAnsi="Times New Roman;serif"/>
          <w:b w:val="false"/>
          <w:i/>
          <w:color w:val="000000"/>
          <w:sz w:val="20"/>
        </w:rPr>
        <w:t xml:space="preserve">Income Statement—Reporting Comprehensive Income—Expense Disaggregation Disclosures (Subtopic 220-40): Clarifying the Effective Date, </w:t>
      </w:r>
      <w:r>
        <w:rPr>
          <w:rFonts w:ascii="Times New Roman;serif" w:hAnsi="Times New Roman;serif"/>
          <w:b w:val="false"/>
          <w:color w:val="000000"/>
          <w:sz w:val="20"/>
        </w:rPr>
        <w:t xml:space="preserve">to clarify the effective date of </w:t>
      </w:r>
      <w:r>
        <w:rPr>
          <w:rFonts w:ascii="Times New Roman;serif" w:hAnsi="Times New Roman;serif"/>
          <w:b w:val="false"/>
          <w:i/>
          <w:color w:val="000000"/>
          <w:sz w:val="20"/>
        </w:rPr>
        <w:t xml:space="preserve">ASU No. 2024-03, Income Statement—Reporting Comprehensive Income—Expense Disaggregation Disclosures (Subtopic 220-40): Disaggregation of Income Statement Expenses. </w:t>
      </w:r>
      <w:r>
        <w:rPr>
          <w:rFonts w:ascii="Times New Roman;serif" w:hAnsi="Times New Roman;serif"/>
          <w:b w:val="false"/>
          <w:color w:val="000000"/>
          <w:sz w:val="20"/>
        </w:rPr>
        <w:t>FASB clarified that all public business entities should initially adopt the disclosure requirements in the ASU 2024-03 in the first annual reporting period beginning after December 15, 2026, and interim reporting periods within annual reporting periods beginning after December 15, 2027. The Company is currently assessing the effect of this ASU on its consolidated financial statements and related disclosures.</w:t>
      </w:r>
    </w:p>
    <w:p>
      <w:pPr>
        <w:pStyle w:val="TextBody"/>
        <w:bidi w:val="0"/>
        <w:spacing w:lineRule="auto" w:line="268" w:before="120" w:after="283"/>
        <w:ind w:left="0" w:right="0" w:firstLine="720"/>
        <w:jc w:val="both"/>
        <w:rPr/>
      </w:pPr>
      <w:r>
        <w:rPr>
          <w:rFonts w:ascii="Times New Roman;serif" w:hAnsi="Times New Roman;serif"/>
          <w:b w:val="false"/>
          <w:color w:val="000000"/>
          <w:sz w:val="20"/>
        </w:rPr>
        <w:t>In November 2024, the FASB issued ASU 2024-03—</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to improve the disclosures about entity’s expenses. The amendments apply to all public business entities. The ASU is effective for annual reporting periods beginning after December 15, 2026, and interim reporting periods beginning after December 15, 2027 with early adoption permitted. The Company is currently evaluating the impact this new accounting will have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3. Revenue</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Product revenue,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8, 2024, the Company was notified by the FDA that the Company’s BLA was approved, allowing for the marketing of AUCATZYL in the United States for the treatment of adult patients with r/r B-ALL. The first sale of AUCATZYL in the United States occurred in January 2025. In November 2025, the National Institute for Health and Care Excellence (“NICE”) recommended AUCATZYL for use in the NHS in England and Wales as a treatment option for adult patients (age 26 and older) with r/r B-ALL. The first sale of AUCATZYL in the United Kingdom occurred in January 2026.</w:t>
      </w:r>
    </w:p>
    <w:p>
      <w:pPr>
        <w:pStyle w:val="TextBody"/>
        <w:bidi w:val="0"/>
        <w:spacing w:lineRule="auto" w:line="276" w:before="120" w:after="283"/>
        <w:ind w:left="0" w:right="0" w:firstLine="720"/>
        <w:jc w:val="both"/>
        <w:rPr/>
      </w:pPr>
      <w:r>
        <w:rPr>
          <w:rFonts w:ascii="Times New Roman;serif" w:hAnsi="Times New Roman;serif"/>
          <w:b w:val="false"/>
          <w:color w:val="000000"/>
          <w:sz w:val="20"/>
          <w:shd w:fill="FFFFFF" w:val="clear"/>
        </w:rPr>
        <w:t xml:space="preserve">Product revenue, net recognized </w:t>
      </w:r>
      <w:r>
        <w:rPr>
          <w:rFonts w:ascii="Times New Roman;serif" w:hAnsi="Times New Roman;serif"/>
          <w:b w:val="false"/>
          <w:color w:val="000000"/>
          <w:sz w:val="20"/>
        </w:rPr>
        <w:t xml:space="preserve">after estimated deductions for rebates and chargebacks </w:t>
      </w:r>
      <w:r>
        <w:rPr>
          <w:rFonts w:ascii="Times New Roman;serif" w:hAnsi="Times New Roman;serif"/>
          <w:b w:val="false"/>
          <w:color w:val="000000"/>
          <w:sz w:val="20"/>
          <w:shd w:fill="FFFFFF" w:val="clear"/>
        </w:rPr>
        <w:t xml:space="preserve">for the three and six months ended June 30, 2026, 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(in thousands):</w:t>
      </w:r>
    </w:p>
    <w:tbl>
      <w:tblPr>
        <w:tblW w:w="7621" w:type="dxa"/>
        <w:jc w:val="left"/>
        <w:tblInd w:w="0" w:type="dxa"/>
        <w:tblLayout w:type="fixed"/>
        <w:tblCellMar>
          <w:top w:w="28" w:type="dxa"/>
          <w:left w:w="28" w:type="dxa"/>
          <w:bottom w:w="28" w:type="dxa"/>
          <w:right w:w="28" w:type="dxa"/>
        </w:tblCellMar>
      </w:tblPr>
      <w:tblGrid>
        <w:gridCol w:w="672"/>
        <w:gridCol w:w="593"/>
        <w:gridCol w:w="595"/>
        <w:gridCol w:w="109"/>
        <w:gridCol w:w="109"/>
        <w:gridCol w:w="109"/>
        <w:gridCol w:w="227"/>
        <w:gridCol w:w="792"/>
        <w:gridCol w:w="117"/>
        <w:gridCol w:w="117"/>
        <w:gridCol w:w="117"/>
        <w:gridCol w:w="117"/>
        <w:gridCol w:w="227"/>
        <w:gridCol w:w="792"/>
        <w:gridCol w:w="117"/>
        <w:gridCol w:w="109"/>
        <w:gridCol w:w="109"/>
        <w:gridCol w:w="109"/>
        <w:gridCol w:w="211"/>
        <w:gridCol w:w="736"/>
        <w:gridCol w:w="109"/>
        <w:gridCol w:w="109"/>
        <w:gridCol w:w="109"/>
        <w:gridCol w:w="109"/>
        <w:gridCol w:w="211"/>
        <w:gridCol w:w="736"/>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Product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45,672</w:t>
            </w:r>
            <w:r>
              <w:rPr>
                <w:color w:val="000000"/>
              </w:rPr>
              <w:t>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20,923</w:t>
            </w:r>
            <w:r>
              <w:rPr>
                <w:color w:val="000000"/>
              </w:rPr>
              <w:t>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71,890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29,905</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240" w:after="283"/>
        <w:ind w:left="0" w:right="0" w:firstLine="720"/>
        <w:jc w:val="both"/>
        <w:rPr/>
      </w:pPr>
      <w:r>
        <w:rPr/>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Accounts receivable from contracts with customers</w:t>
      </w:r>
    </w:p>
    <w:p>
      <w:pPr>
        <w:pStyle w:val="TextBody"/>
        <w:bidi w:val="0"/>
        <w:spacing w:lineRule="auto" w:line="288" w:before="120" w:after="283"/>
        <w:ind w:left="0" w:right="0" w:firstLine="720"/>
        <w:jc w:val="both"/>
        <w:rPr/>
      </w:pPr>
      <w:r>
        <w:rPr>
          <w:rFonts w:ascii="Times New Roman;serif" w:hAnsi="Times New Roman;serif"/>
          <w:b w:val="false"/>
          <w:color w:val="000000"/>
          <w:sz w:val="22"/>
          <w:shd w:fill="FFFFFF" w:val="clear"/>
        </w:rPr>
        <w:t>A</w:t>
      </w:r>
      <w:r>
        <w:rPr>
          <w:rFonts w:ascii="Times New Roman;serif" w:hAnsi="Times New Roman;serif"/>
          <w:b w:val="false"/>
          <w:color w:val="000000"/>
          <w:sz w:val="20"/>
          <w:shd w:fill="FFFFFF" w:val="clear"/>
        </w:rPr>
        <w:t xml:space="preserve">ccounts receivable, net as of June 30, 2026 and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$44.4 million and $24.0 million, respectively</w:t>
      </w:r>
      <w:r>
        <w:rPr>
          <w:rFonts w:ascii="Times New Roman;serif" w:hAnsi="Times New Roman;serif"/>
          <w:b w:val="false"/>
          <w:color w:val="000000"/>
          <w:sz w:val="20"/>
          <w:shd w:fill="FFFFFF" w:val="clear"/>
        </w:rPr>
        <w:t xml:space="preserve">. An allowance for lifetime expected credit losses on accounts receivable is measured using historical credit loss experience, conditions at the end of each reporting period, and reasonable and supportable forecasts that affect collectability. Expected credit losses as of June 30,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based on the Company's third-party agreements are immaterial.</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Accruals for rebates and chargebacks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Current accruals for rebates and chargebacks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were as follows (in thousands):</w:t>
      </w:r>
    </w:p>
    <w:tbl>
      <w:tblPr>
        <w:tblW w:w="10205" w:type="dxa"/>
        <w:jc w:val="left"/>
        <w:tblInd w:w="0" w:type="dxa"/>
        <w:tblLayout w:type="fixed"/>
        <w:tblCellMar>
          <w:top w:w="28" w:type="dxa"/>
          <w:left w:w="28" w:type="dxa"/>
          <w:bottom w:w="28" w:type="dxa"/>
          <w:right w:w="28" w:type="dxa"/>
        </w:tblCellMar>
      </w:tblPr>
      <w:tblGrid>
        <w:gridCol w:w="2057"/>
        <w:gridCol w:w="1779"/>
        <w:gridCol w:w="1787"/>
        <w:gridCol w:w="109"/>
        <w:gridCol w:w="109"/>
        <w:gridCol w:w="109"/>
        <w:gridCol w:w="211"/>
        <w:gridCol w:w="631"/>
        <w:gridCol w:w="109"/>
        <w:gridCol w:w="109"/>
        <w:gridCol w:w="109"/>
        <w:gridCol w:w="109"/>
        <w:gridCol w:w="269"/>
        <w:gridCol w:w="806"/>
        <w:gridCol w:w="141"/>
        <w:gridCol w:w="109"/>
        <w:gridCol w:w="109"/>
        <w:gridCol w:w="109"/>
        <w:gridCol w:w="211"/>
        <w:gridCol w:w="631"/>
        <w:gridCol w:w="109"/>
        <w:gridCol w:w="109"/>
        <w:gridCol w:w="109"/>
        <w:gridCol w:w="109"/>
        <w:gridCol w:w="156"/>
      </w:tblGrid>
      <w:tr>
        <w:trPr/>
        <w:tc>
          <w:tcPr>
            <w:tcW w:w="2057"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1,333</w:t>
            </w: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Rebate and chargeback accruals related to product revenue recognized in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and credits made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related to prior period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8,374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819</w:t>
            </w: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9,193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Interest Expense,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consisted of the following (in thousands):</w:t>
      </w:r>
    </w:p>
    <w:tbl>
      <w:tblPr>
        <w:tblW w:w="10205" w:type="dxa"/>
        <w:jc w:val="left"/>
        <w:tblInd w:w="0" w:type="dxa"/>
        <w:tblLayout w:type="fixed"/>
        <w:tblCellMar>
          <w:top w:w="28" w:type="dxa"/>
          <w:left w:w="28" w:type="dxa"/>
          <w:bottom w:w="28" w:type="dxa"/>
          <w:right w:w="28" w:type="dxa"/>
        </w:tblCellMar>
      </w:tblPr>
      <w:tblGrid>
        <w:gridCol w:w="1676"/>
        <w:gridCol w:w="1454"/>
        <w:gridCol w:w="1458"/>
        <w:gridCol w:w="109"/>
        <w:gridCol w:w="109"/>
        <w:gridCol w:w="109"/>
        <w:gridCol w:w="219"/>
        <w:gridCol w:w="750"/>
        <w:gridCol w:w="113"/>
        <w:gridCol w:w="113"/>
        <w:gridCol w:w="113"/>
        <w:gridCol w:w="113"/>
        <w:gridCol w:w="219"/>
        <w:gridCol w:w="750"/>
        <w:gridCol w:w="113"/>
        <w:gridCol w:w="109"/>
        <w:gridCol w:w="109"/>
        <w:gridCol w:w="109"/>
        <w:gridCol w:w="211"/>
        <w:gridCol w:w="721"/>
        <w:gridCol w:w="109"/>
        <w:gridCol w:w="109"/>
        <w:gridCol w:w="109"/>
        <w:gridCol w:w="109"/>
        <w:gridCol w:w="211"/>
        <w:gridCol w:w="721"/>
        <w:gridCol w:w="160"/>
      </w:tblGrid>
      <w:tr>
        <w:trPr/>
        <w:tc>
          <w:tcPr>
            <w:tcW w:w="167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accrued on liabilities related to future royalties and milestones,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catch-up adjustment arising from the liabilities related to future royalties and milestones,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(2,674)</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(6,829)</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8,450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3,314</w:t>
            </w:r>
            <w:r>
              <w:rPr>
                <w:color w:val="000000"/>
              </w:rPr>
              <w:t>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5. Net Loss Per Share</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442"/>
        <w:gridCol w:w="1268"/>
        <w:gridCol w:w="1283"/>
        <w:gridCol w:w="264"/>
        <w:gridCol w:w="922"/>
        <w:gridCol w:w="109"/>
        <w:gridCol w:w="109"/>
        <w:gridCol w:w="109"/>
        <w:gridCol w:w="109"/>
        <w:gridCol w:w="264"/>
        <w:gridCol w:w="922"/>
        <w:gridCol w:w="109"/>
        <w:gridCol w:w="109"/>
        <w:gridCol w:w="109"/>
        <w:gridCol w:w="109"/>
        <w:gridCol w:w="237"/>
        <w:gridCol w:w="949"/>
        <w:gridCol w:w="109"/>
        <w:gridCol w:w="109"/>
        <w:gridCol w:w="109"/>
        <w:gridCol w:w="109"/>
        <w:gridCol w:w="237"/>
        <w:gridCol w:w="949"/>
        <w:gridCol w:w="160"/>
      </w:tblGrid>
      <w:tr>
        <w:trPr/>
        <w:tc>
          <w:tcPr>
            <w:tcW w:w="144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(39,111)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(47,917)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(110,709)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(118,081)</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ordinary shares used in net loss per share - 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266,158,829 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266,141,411 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266,151,170 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266,134,021 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net loss per ordinary share</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(0.44)</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all periods presented, outstanding but unvested RSUs, share options and warrants have been excluded from the calculation as their effects would be anti-dilutive. Therefore, the weighted average number of ordinary shares used to calculate both basic and diluted loss per share are the same for all periods presented.</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120" w:after="283"/>
        <w:ind w:left="0" w:right="0" w:firstLine="720"/>
        <w:jc w:val="both"/>
        <w:rPr/>
      </w:pPr>
      <w:r>
        <w:rPr/>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have been excluded from the calculation of diluted net loss per share due to their anti-dilutive effect:</w:t>
      </w:r>
    </w:p>
    <w:tbl>
      <w:tblPr>
        <w:tblW w:w="6197" w:type="dxa"/>
        <w:jc w:val="center"/>
        <w:tblInd w:w="0" w:type="dxa"/>
        <w:tblLayout w:type="fixed"/>
        <w:tblCellMar>
          <w:top w:w="28" w:type="dxa"/>
          <w:left w:w="28" w:type="dxa"/>
          <w:bottom w:w="28" w:type="dxa"/>
          <w:right w:w="28" w:type="dxa"/>
        </w:tblCellMar>
      </w:tblPr>
      <w:tblGrid>
        <w:gridCol w:w="945"/>
        <w:gridCol w:w="831"/>
        <w:gridCol w:w="833"/>
        <w:gridCol w:w="676"/>
        <w:gridCol w:w="420"/>
        <w:gridCol w:w="258"/>
        <w:gridCol w:w="258"/>
        <w:gridCol w:w="258"/>
        <w:gridCol w:w="258"/>
        <w:gridCol w:w="677"/>
        <w:gridCol w:w="419"/>
        <w:gridCol w:w="364"/>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4,251,304 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share options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37,399,862 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30,870,682 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3,265,306 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3,265,306 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w:t>
            </w:r>
          </w:p>
        </w:tc>
        <w:tc>
          <w:tcPr>
            <w:tcW w:w="10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44,916,472</w:t>
            </w:r>
            <w:r>
              <w:rPr>
                <w:color w:val="000000"/>
              </w:rPr>
              <w:t> </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34,152,238</w:t>
            </w:r>
            <w:r>
              <w:rPr>
                <w:color w:val="000000"/>
              </w:rPr>
              <w:t> </w:t>
            </w:r>
          </w:p>
        </w:tc>
        <w:tc>
          <w:tcPr>
            <w:tcW w:w="3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Fair Value Measurements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the following levels:</w:t>
      </w:r>
    </w:p>
    <w:p>
      <w:pPr>
        <w:pStyle w:val="TextBody"/>
        <w:bidi w:val="0"/>
        <w:spacing w:lineRule="auto" w:line="288" w:before="120" w:after="283"/>
        <w:ind w:left="0" w:right="0" w:firstLine="720"/>
        <w:jc w:val="both"/>
        <w:rPr>
          <w:color w:val="000000"/>
        </w:rPr>
      </w:pPr>
      <w:r>
        <w:rPr>
          <w:color w:val="000000"/>
        </w:rPr>
        <w:t xml:space="preserve">• </w:t>
      </w: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60" w:after="283"/>
        <w:ind w:left="0" w:right="0" w:firstLine="720"/>
        <w:jc w:val="both"/>
        <w:rPr>
          <w:color w:val="000000"/>
        </w:rPr>
      </w:pPr>
      <w:r>
        <w:rPr>
          <w:color w:val="000000"/>
        </w:rPr>
        <w:t xml:space="preserve">• </w:t>
      </w:r>
      <w:r>
        <w:rPr>
          <w:rFonts w:ascii="Times New Roman;serif" w:hAnsi="Times New Roman;serif"/>
          <w:b w:val="false"/>
          <w:color w:val="000000"/>
          <w:sz w:val="20"/>
        </w:rPr>
        <w:t>Level 2 — Inputs other than quoted prices included within Level 1 that are observable for the asset or liability, either directly or indirectly.</w:t>
      </w:r>
    </w:p>
    <w:p>
      <w:pPr>
        <w:pStyle w:val="TextBody"/>
        <w:bidi w:val="0"/>
        <w:spacing w:lineRule="auto" w:line="288" w:before="60" w:after="283"/>
        <w:ind w:left="0" w:right="0" w:firstLine="720"/>
        <w:jc w:val="both"/>
        <w:rPr>
          <w:color w:val="000000"/>
        </w:rPr>
      </w:pPr>
      <w:r>
        <w:rPr>
          <w:color w:val="000000"/>
        </w:rPr>
        <w:t xml:space="preserve">• </w:t>
      </w:r>
      <w:r>
        <w:rPr>
          <w:rFonts w:ascii="Times New Roman;serif" w:hAnsi="Times New Roman;serif"/>
          <w:b w:val="false"/>
          <w:color w:val="000000"/>
          <w:sz w:val="20"/>
        </w:rPr>
        <w:t>Level 3 — Unobservable inputs that reflect the Company’s own assumptions about the assumptions market participants would use in pricing the asset or liability.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reported in the balance sheet for cash and cash equivalents, restricted cash, prepaid expenses and other assets, accounts payable and accrued expenses and other liabilities approximate their fair value because of the short-term nature of these instruments.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measured at fair value on a recurring basis and indicate the level of the fair value hierarchy utilized to determine such fair values (in thousands):</w:t>
      </w:r>
    </w:p>
    <w:tbl>
      <w:tblPr>
        <w:tblW w:w="10205" w:type="dxa"/>
        <w:jc w:val="left"/>
        <w:tblInd w:w="0" w:type="dxa"/>
        <w:tblLayout w:type="fixed"/>
        <w:tblCellMar>
          <w:top w:w="28" w:type="dxa"/>
          <w:left w:w="28" w:type="dxa"/>
          <w:bottom w:w="28" w:type="dxa"/>
          <w:right w:w="28" w:type="dxa"/>
        </w:tblCellMar>
      </w:tblPr>
      <w:tblGrid>
        <w:gridCol w:w="767"/>
        <w:gridCol w:w="653"/>
        <w:gridCol w:w="656"/>
        <w:gridCol w:w="262"/>
        <w:gridCol w:w="1047"/>
        <w:gridCol w:w="135"/>
        <w:gridCol w:w="109"/>
        <w:gridCol w:w="109"/>
        <w:gridCol w:w="109"/>
        <w:gridCol w:w="347"/>
        <w:gridCol w:w="1387"/>
        <w:gridCol w:w="179"/>
        <w:gridCol w:w="109"/>
        <w:gridCol w:w="109"/>
        <w:gridCol w:w="109"/>
        <w:gridCol w:w="319"/>
        <w:gridCol w:w="1118"/>
        <w:gridCol w:w="167"/>
        <w:gridCol w:w="109"/>
        <w:gridCol w:w="109"/>
        <w:gridCol w:w="109"/>
        <w:gridCol w:w="493"/>
        <w:gridCol w:w="950"/>
        <w:gridCol w:w="257"/>
        <w:gridCol w:w="109"/>
        <w:gridCol w:w="109"/>
        <w:gridCol w:w="109"/>
        <w:gridCol w:w="160"/>
      </w:tblGrid>
      <w:tr>
        <w:trPr/>
        <w:tc>
          <w:tcPr>
            <w:tcW w:w="76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 classified as cash equivalents:</w:t>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149,129 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155,115</w:t>
            </w: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149,129</w:t>
            </w:r>
            <w:r>
              <w:rPr>
                <w:color w:val="000000"/>
              </w:rPr>
              <w:t>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5,986</w:t>
            </w:r>
            <w:r>
              <w:rPr>
                <w:color w:val="000000"/>
              </w:rPr>
              <w:t>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360" w:after="283"/>
              <w:jc w:val="left"/>
              <w:rPr>
                <w:rFonts w:ascii="Times New Roman;serif" w:hAnsi="Times New Roman;serif"/>
                <w:b/>
                <w:color w:val="000000"/>
                <w:sz w:val="20"/>
              </w:rPr>
            </w:pPr>
            <w:r>
              <w:rPr>
                <w:rFonts w:ascii="Times New Roman;serif" w:hAnsi="Times New Roman;serif"/>
                <w:b/>
                <w:color w:val="000000"/>
                <w:sz w:val="20"/>
              </w:rPr>
              <w:t>Assets classified as marketable securities: available-for-sale debt securities</w:t>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30,216</w:t>
            </w: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10,004</w:t>
            </w:r>
            <w:r>
              <w:rPr>
                <w:color w:val="000000"/>
              </w:rPr>
              <w:t>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20,212</w:t>
            </w:r>
            <w:r>
              <w:rPr>
                <w:color w:val="000000"/>
              </w:rPr>
              <w:t>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assets measured at fair value on a recurring basis</w:t>
            </w:r>
          </w:p>
        </w:tc>
        <w:tc>
          <w:tcPr>
            <w:tcW w:w="26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185,331</w:t>
            </w:r>
            <w:r>
              <w:rPr>
                <w:color w:val="000000"/>
              </w:rPr>
              <w:t> </w:t>
            </w:r>
          </w:p>
        </w:tc>
        <w:tc>
          <w:tcPr>
            <w:tcW w:w="13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159,133</w:t>
            </w:r>
            <w:r>
              <w:rPr>
                <w:color w:val="000000"/>
              </w:rPr>
              <w:t> </w:t>
            </w:r>
          </w:p>
        </w:tc>
        <w:tc>
          <w:tcPr>
            <w:tcW w:w="17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26,198</w:t>
            </w:r>
            <w:r>
              <w:rPr>
                <w:color w:val="000000"/>
              </w:rPr>
              <w:t> </w:t>
            </w:r>
          </w:p>
        </w:tc>
        <w:tc>
          <w:tcPr>
            <w:tcW w:w="16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780"/>
        <w:gridCol w:w="653"/>
        <w:gridCol w:w="657"/>
        <w:gridCol w:w="262"/>
        <w:gridCol w:w="1047"/>
        <w:gridCol w:w="135"/>
        <w:gridCol w:w="109"/>
        <w:gridCol w:w="109"/>
        <w:gridCol w:w="109"/>
        <w:gridCol w:w="365"/>
        <w:gridCol w:w="1276"/>
        <w:gridCol w:w="188"/>
        <w:gridCol w:w="109"/>
        <w:gridCol w:w="109"/>
        <w:gridCol w:w="109"/>
        <w:gridCol w:w="303"/>
        <w:gridCol w:w="1211"/>
        <w:gridCol w:w="156"/>
        <w:gridCol w:w="109"/>
        <w:gridCol w:w="109"/>
        <w:gridCol w:w="109"/>
        <w:gridCol w:w="493"/>
        <w:gridCol w:w="951"/>
        <w:gridCol w:w="257"/>
        <w:gridCol w:w="109"/>
        <w:gridCol w:w="109"/>
        <w:gridCol w:w="109"/>
        <w:gridCol w:w="163"/>
      </w:tblGrid>
      <w:tr>
        <w:trPr/>
        <w:tc>
          <w:tcPr>
            <w:tcW w:w="78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 classified as cash equivalents:</w:t>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71,191 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73,245</w:t>
            </w: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71,191</w:t>
            </w:r>
            <w:r>
              <w:rPr>
                <w:color w:val="000000"/>
              </w:rPr>
              <w:t>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2,054</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360" w:after="283"/>
              <w:jc w:val="left"/>
              <w:rPr>
                <w:rFonts w:ascii="Times New Roman;serif" w:hAnsi="Times New Roman;serif"/>
                <w:b/>
                <w:color w:val="000000"/>
                <w:sz w:val="20"/>
              </w:rPr>
            </w:pPr>
            <w:r>
              <w:rPr>
                <w:rFonts w:ascii="Times New Roman;serif" w:hAnsi="Times New Roman;serif"/>
                <w:b/>
                <w:color w:val="000000"/>
                <w:sz w:val="20"/>
              </w:rPr>
              <w:t>Assets classified as marketable securities: available-for-sale debt securities</w:t>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196,578</w:t>
            </w: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19,515</w:t>
            </w:r>
            <w:r>
              <w:rPr>
                <w:color w:val="000000"/>
              </w:rPr>
              <w:t>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177,063</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assets measured at fair value on a recurring basis</w:t>
            </w:r>
          </w:p>
        </w:tc>
        <w:tc>
          <w:tcPr>
            <w:tcW w:w="26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269,823</w:t>
            </w:r>
            <w:r>
              <w:rPr>
                <w:color w:val="000000"/>
              </w:rPr>
              <w:t> </w:t>
            </w:r>
          </w:p>
        </w:tc>
        <w:tc>
          <w:tcPr>
            <w:tcW w:w="13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90,706</w:t>
            </w:r>
            <w:r>
              <w:rPr>
                <w:color w:val="000000"/>
              </w:rPr>
              <w:t> </w:t>
            </w:r>
          </w:p>
        </w:tc>
        <w:tc>
          <w:tcPr>
            <w:tcW w:w="1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179,117</w:t>
            </w:r>
            <w:r>
              <w:rPr>
                <w:color w:val="000000"/>
              </w:rPr>
              <w:t>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available-for-sale debt securities using actual trade and indicative prices sourced from third-party providers on a daily basis to estimate the fair value. If observable market prices are not available (such as for securities with short maturities and limited second market activity), the securities are priced using a valuation model that maximizes the use of observable inputs, such as market interest rates.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did not have non-financial assets measured at fair value on a recurring basis. During the three and six months ended June 30, 2026 and the year ended December 31, 2025, there were no transfers between fair value levels.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7. Marketable Securities: Available-For-Sale Debt Securities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has the following investments in available-for-sale debt securities, which are categorized as marketable securities: available-for-sale debt securities on the balance sheet depending on their maturity at acquisition (in thousands):</w:t>
      </w:r>
    </w:p>
    <w:tbl>
      <w:tblPr>
        <w:tblW w:w="10205" w:type="dxa"/>
        <w:jc w:val="left"/>
        <w:tblInd w:w="0" w:type="dxa"/>
        <w:tblLayout w:type="fixed"/>
        <w:tblCellMar>
          <w:top w:w="28" w:type="dxa"/>
          <w:left w:w="28" w:type="dxa"/>
          <w:bottom w:w="28" w:type="dxa"/>
          <w:right w:w="28" w:type="dxa"/>
        </w:tblCellMar>
      </w:tblPr>
      <w:tblGrid>
        <w:gridCol w:w="714"/>
        <w:gridCol w:w="628"/>
        <w:gridCol w:w="630"/>
        <w:gridCol w:w="109"/>
        <w:gridCol w:w="109"/>
        <w:gridCol w:w="109"/>
        <w:gridCol w:w="495"/>
        <w:gridCol w:w="495"/>
        <w:gridCol w:w="497"/>
        <w:gridCol w:w="109"/>
        <w:gridCol w:w="109"/>
        <w:gridCol w:w="109"/>
        <w:gridCol w:w="225"/>
        <w:gridCol w:w="788"/>
        <w:gridCol w:w="116"/>
        <w:gridCol w:w="109"/>
        <w:gridCol w:w="109"/>
        <w:gridCol w:w="109"/>
        <w:gridCol w:w="361"/>
        <w:gridCol w:w="695"/>
        <w:gridCol w:w="187"/>
        <w:gridCol w:w="109"/>
        <w:gridCol w:w="109"/>
        <w:gridCol w:w="109"/>
        <w:gridCol w:w="363"/>
        <w:gridCol w:w="698"/>
        <w:gridCol w:w="188"/>
        <w:gridCol w:w="109"/>
        <w:gridCol w:w="109"/>
        <w:gridCol w:w="109"/>
        <w:gridCol w:w="284"/>
        <w:gridCol w:w="991"/>
        <w:gridCol w:w="215"/>
      </w:tblGrid>
      <w:tr>
        <w:trPr/>
        <w:tc>
          <w:tcPr>
            <w:tcW w:w="71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contractual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estimated fair value</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Marketable securities: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30,214</w:t>
            </w:r>
            <w:r>
              <w:rPr>
                <w:color w:val="000000"/>
              </w:rPr>
              <w:t>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30,216</w:t>
            </w:r>
            <w:r>
              <w:rPr>
                <w:color w:val="000000"/>
              </w:rPr>
              <w:t> </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0"/>
        <w:gridCol w:w="606"/>
        <w:gridCol w:w="608"/>
        <w:gridCol w:w="109"/>
        <w:gridCol w:w="109"/>
        <w:gridCol w:w="109"/>
        <w:gridCol w:w="484"/>
        <w:gridCol w:w="484"/>
        <w:gridCol w:w="486"/>
        <w:gridCol w:w="109"/>
        <w:gridCol w:w="109"/>
        <w:gridCol w:w="109"/>
        <w:gridCol w:w="219"/>
        <w:gridCol w:w="874"/>
        <w:gridCol w:w="113"/>
        <w:gridCol w:w="109"/>
        <w:gridCol w:w="109"/>
        <w:gridCol w:w="109"/>
        <w:gridCol w:w="322"/>
        <w:gridCol w:w="735"/>
        <w:gridCol w:w="166"/>
        <w:gridCol w:w="109"/>
        <w:gridCol w:w="109"/>
        <w:gridCol w:w="109"/>
        <w:gridCol w:w="439"/>
        <w:gridCol w:w="564"/>
        <w:gridCol w:w="227"/>
        <w:gridCol w:w="109"/>
        <w:gridCol w:w="109"/>
        <w:gridCol w:w="109"/>
        <w:gridCol w:w="268"/>
        <w:gridCol w:w="1070"/>
        <w:gridCol w:w="205"/>
      </w:tblGrid>
      <w:tr>
        <w:trPr/>
        <w:tc>
          <w:tcPr>
            <w:tcW w:w="7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contractual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estimated fair value</w:t>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Marketable securities: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196,423</w:t>
            </w:r>
            <w:r>
              <w:rPr>
                <w:color w:val="000000"/>
              </w:rPr>
              <w:t>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196,578</w:t>
            </w:r>
            <w:r>
              <w:rPr>
                <w:color w:val="000000"/>
              </w:rPr>
              <w:t>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number of securities held by the Company and aggregate fair value (in thousands) and in an unrealized loss position as of June 30, 2026 and December 31, 2025 are as follows (in thousands):</w:t>
      </w:r>
    </w:p>
    <w:tbl>
      <w:tblPr>
        <w:tblW w:w="10205" w:type="dxa"/>
        <w:jc w:val="left"/>
        <w:tblInd w:w="0" w:type="dxa"/>
        <w:tblLayout w:type="fixed"/>
        <w:tblCellMar>
          <w:top w:w="28" w:type="dxa"/>
          <w:left w:w="28" w:type="dxa"/>
          <w:bottom w:w="28" w:type="dxa"/>
          <w:right w:w="28" w:type="dxa"/>
        </w:tblCellMar>
      </w:tblPr>
      <w:tblGrid>
        <w:gridCol w:w="1406"/>
        <w:gridCol w:w="1238"/>
        <w:gridCol w:w="1242"/>
        <w:gridCol w:w="109"/>
        <w:gridCol w:w="109"/>
        <w:gridCol w:w="109"/>
        <w:gridCol w:w="453"/>
        <w:gridCol w:w="453"/>
        <w:gridCol w:w="454"/>
        <w:gridCol w:w="109"/>
        <w:gridCol w:w="109"/>
        <w:gridCol w:w="109"/>
        <w:gridCol w:w="397"/>
        <w:gridCol w:w="764"/>
        <w:gridCol w:w="206"/>
        <w:gridCol w:w="109"/>
        <w:gridCol w:w="109"/>
        <w:gridCol w:w="109"/>
        <w:gridCol w:w="497"/>
        <w:gridCol w:w="1740"/>
        <w:gridCol w:w="374"/>
      </w:tblGrid>
      <w:tr>
        <w:trPr/>
        <w:tc>
          <w:tcPr>
            <w:tcW w:w="140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securities held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market value of investments in an unrealized loss position</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Marketable securities: available-for-sale debt securities in a continuous loss position for less than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12,474</w:t>
            </w:r>
            <w:r>
              <w:rPr>
                <w:color w:val="000000"/>
              </w:rPr>
              <w:t> </w:t>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1406"/>
        <w:gridCol w:w="1238"/>
        <w:gridCol w:w="1242"/>
        <w:gridCol w:w="109"/>
        <w:gridCol w:w="109"/>
        <w:gridCol w:w="109"/>
        <w:gridCol w:w="453"/>
        <w:gridCol w:w="453"/>
        <w:gridCol w:w="454"/>
        <w:gridCol w:w="109"/>
        <w:gridCol w:w="109"/>
        <w:gridCol w:w="109"/>
        <w:gridCol w:w="488"/>
        <w:gridCol w:w="627"/>
        <w:gridCol w:w="252"/>
        <w:gridCol w:w="109"/>
        <w:gridCol w:w="109"/>
        <w:gridCol w:w="109"/>
        <w:gridCol w:w="550"/>
        <w:gridCol w:w="1648"/>
        <w:gridCol w:w="413"/>
      </w:tblGrid>
      <w:tr>
        <w:trPr/>
        <w:tc>
          <w:tcPr>
            <w:tcW w:w="140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securities held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market value of investments in an unrealized loss position</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Marketable securities: available-for-sale debt securities in a continuous loss position for less than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9,454</w:t>
            </w:r>
            <w:r>
              <w:rPr>
                <w:color w:val="000000"/>
              </w:rPr>
              <w:t> </w:t>
            </w:r>
          </w:p>
        </w:tc>
        <w:tc>
          <w:tcPr>
            <w:tcW w:w="4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aggregated net unrealized loss on available-for-sale debt securities in the amount of less than $0.1 million has been recognized in accumulated other comprehensive loss in the Company’s condensed consolidated balance sheet as of June 30, 2026.</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held 3 marketable securities: available-for-sale debt securities out of its total investment portfolio that were in a continuous unrealized loss position. As of June 30, 2026, no allowance for expected credit losses has been recognized in relation to securities in an unrealized loss position. The related unrealized losses are not severe, have been for a short duration and are due to normal market, exchange rate fluctuations and all securities have an investment-grade credit rating. The Company neither intends to sell these investments nor has concluded that it will more-likely-than-not have to sell them before recovery of their carrying values. The Company also believes that it will be able to collect both principal and interest amounts due to the Company at maturity.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amounts reclassified out of other comprehensive income (loss), net of tax during the three and six months ended June 30, 2026 and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36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8. Inventories,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 (in thousands):</w:t>
      </w:r>
    </w:p>
    <w:tbl>
      <w:tblPr>
        <w:tblW w:w="5479" w:type="dxa"/>
        <w:jc w:val="left"/>
        <w:tblInd w:w="0" w:type="dxa"/>
        <w:tblLayout w:type="fixed"/>
        <w:tblCellMar>
          <w:top w:w="28" w:type="dxa"/>
          <w:left w:w="28" w:type="dxa"/>
          <w:bottom w:w="28" w:type="dxa"/>
          <w:right w:w="28" w:type="dxa"/>
        </w:tblCellMar>
      </w:tblPr>
      <w:tblGrid>
        <w:gridCol w:w="695"/>
        <w:gridCol w:w="610"/>
        <w:gridCol w:w="615"/>
        <w:gridCol w:w="109"/>
        <w:gridCol w:w="109"/>
        <w:gridCol w:w="109"/>
        <w:gridCol w:w="211"/>
        <w:gridCol w:w="736"/>
        <w:gridCol w:w="109"/>
        <w:gridCol w:w="109"/>
        <w:gridCol w:w="109"/>
        <w:gridCol w:w="109"/>
        <w:gridCol w:w="251"/>
        <w:gridCol w:w="878"/>
        <w:gridCol w:w="130"/>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Consumables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33,431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33,209</w:t>
            </w:r>
            <w:r>
              <w:rPr>
                <w:color w:val="000000"/>
              </w:rPr>
              <w:t>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Inventory write-downs as a result of excess, obsolescence, scrap or other reasons are recorded in cost of sales in the Company’s consolidated statements of operations. For the three months ended June 30, 2026 and 2025, inventory write-downs were $1.2 million and $2.5 million, respectively. For the six months ended June 30, 2026 and 2025, inventory write-downs were $3.1 million and $3.2 million, respectively. Inventory write-downs were mainly related to inventory in excess of expected demand, shelf-life expiration and inventory costs incurred on cancelled and failed batches. Inventory amounts above are net of the associated inventory write-downs.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Prepaid Expenses and Other Current Assets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812" w:type="dxa"/>
        <w:jc w:val="left"/>
        <w:tblInd w:w="0" w:type="dxa"/>
        <w:tblLayout w:type="fixed"/>
        <w:tblCellMar>
          <w:top w:w="28" w:type="dxa"/>
          <w:left w:w="28" w:type="dxa"/>
          <w:bottom w:w="28" w:type="dxa"/>
          <w:right w:w="28" w:type="dxa"/>
        </w:tblCellMar>
      </w:tblPr>
      <w:tblGrid>
        <w:gridCol w:w="1495"/>
        <w:gridCol w:w="1311"/>
        <w:gridCol w:w="1318"/>
        <w:gridCol w:w="211"/>
        <w:gridCol w:w="736"/>
        <w:gridCol w:w="109"/>
        <w:gridCol w:w="109"/>
        <w:gridCol w:w="109"/>
        <w:gridCol w:w="109"/>
        <w:gridCol w:w="250"/>
        <w:gridCol w:w="873"/>
        <w:gridCol w:w="182"/>
      </w:tblGrid>
      <w:tr>
        <w:trPr/>
        <w:tc>
          <w:tcPr>
            <w:tcW w:w="14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claims receivable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45,870 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VAT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and lease deposit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tax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prepaid expenses and other current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55,142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76,469</w:t>
            </w:r>
            <w:r>
              <w:rPr>
                <w:color w:val="000000"/>
              </w:rPr>
              <w:t>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10. Property and Equipment,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5703" w:type="dxa"/>
        <w:jc w:val="left"/>
        <w:tblInd w:w="0" w:type="dxa"/>
        <w:tblLayout w:type="fixed"/>
        <w:tblCellMar>
          <w:top w:w="28" w:type="dxa"/>
          <w:left w:w="28" w:type="dxa"/>
          <w:bottom w:w="28" w:type="dxa"/>
          <w:right w:w="28" w:type="dxa"/>
        </w:tblCellMar>
      </w:tblPr>
      <w:tblGrid>
        <w:gridCol w:w="1093"/>
        <w:gridCol w:w="958"/>
        <w:gridCol w:w="964"/>
        <w:gridCol w:w="211"/>
        <w:gridCol w:w="736"/>
        <w:gridCol w:w="109"/>
        <w:gridCol w:w="109"/>
        <w:gridCol w:w="109"/>
        <w:gridCol w:w="109"/>
        <w:gridCol w:w="250"/>
        <w:gridCol w:w="873"/>
        <w:gridCol w:w="182"/>
      </w:tblGrid>
      <w:tr>
        <w:trPr/>
        <w:tc>
          <w:tcPr>
            <w:tcW w:w="10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55,586 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Assets under construction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property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60,523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63,563</w:t>
            </w:r>
            <w:r>
              <w:rPr>
                <w:color w:val="000000"/>
              </w:rPr>
              <w:t>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June 30, 2026 and 2025 was $2.2 million and $2.1 million, respectively, and for the six months ended June 30, 2026 and 2025 was $4.4 million and $4.1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36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11. Intangible Assets,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 of the Company's intangible assets, net of accumulated amortization (in thousands):</w:t>
      </w:r>
    </w:p>
    <w:tbl>
      <w:tblPr>
        <w:tblW w:w="6150" w:type="dxa"/>
        <w:jc w:val="left"/>
        <w:tblInd w:w="0" w:type="dxa"/>
        <w:tblLayout w:type="fixed"/>
        <w:tblCellMar>
          <w:top w:w="28" w:type="dxa"/>
          <w:left w:w="28" w:type="dxa"/>
          <w:bottom w:w="28" w:type="dxa"/>
          <w:right w:w="28" w:type="dxa"/>
        </w:tblCellMar>
      </w:tblPr>
      <w:tblGrid>
        <w:gridCol w:w="978"/>
        <w:gridCol w:w="858"/>
        <w:gridCol w:w="864"/>
        <w:gridCol w:w="109"/>
        <w:gridCol w:w="109"/>
        <w:gridCol w:w="109"/>
        <w:gridCol w:w="211"/>
        <w:gridCol w:w="736"/>
        <w:gridCol w:w="109"/>
        <w:gridCol w:w="109"/>
        <w:gridCol w:w="109"/>
        <w:gridCol w:w="109"/>
        <w:gridCol w:w="251"/>
        <w:gridCol w:w="878"/>
        <w:gridCol w:w="130"/>
        <w:gridCol w:w="109"/>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Licensed IP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intangibles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18,532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19,809</w:t>
            </w:r>
            <w:r>
              <w:rPr>
                <w:color w:val="000000"/>
              </w:rPr>
              <w:t>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for the three months ended June 30, 2026 and 2025 was $0.5 million and $0.3 million, respectively, and for the six months ended June 30, 2026 and 2025 was $1.0 million and $0.6 million, respectively. The estimated annual amortization expense related to this asset is $1.9 million for each of the five years ending in 2031.</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18, 2025, the Company was notified by the European Commission that the Company has been granted marketing approval for AUCATZYL (obecabtagene autoleucel) for the treatment of adult patients (26 years and older) with r/r B-ALL, which triggered a £6.0 million regulatory milestone payment that was paid by the Company to UCL Business Ltd (“UCLB”) in the third quarter of 2025, pursuant to a certain exclusive license agreement, as amended (the “UCLB License Agreement”). This milestone payment was capitalized as an intangible assets and amortized over the remaining useful life of the patent.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12. Accrued Expenses and Other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 consisted of the following (in thousands):</w:t>
      </w:r>
    </w:p>
    <w:tbl>
      <w:tblPr>
        <w:tblW w:w="6467" w:type="dxa"/>
        <w:jc w:val="left"/>
        <w:tblInd w:w="0" w:type="dxa"/>
        <w:tblLayout w:type="fixed"/>
        <w:tblCellMar>
          <w:top w:w="28" w:type="dxa"/>
          <w:left w:w="28" w:type="dxa"/>
          <w:bottom w:w="28" w:type="dxa"/>
          <w:right w:w="28" w:type="dxa"/>
        </w:tblCellMar>
      </w:tblPr>
      <w:tblGrid>
        <w:gridCol w:w="1369"/>
        <w:gridCol w:w="1203"/>
        <w:gridCol w:w="1207"/>
        <w:gridCol w:w="211"/>
        <w:gridCol w:w="736"/>
        <w:gridCol w:w="109"/>
        <w:gridCol w:w="109"/>
        <w:gridCol w:w="109"/>
        <w:gridCol w:w="109"/>
        <w:gridCol w:w="250"/>
        <w:gridCol w:w="873"/>
        <w:gridCol w:w="182"/>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26,224 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Rebates, chargebacks and returns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accruals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accrued expenses and other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48,735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55,792</w:t>
            </w:r>
            <w:r>
              <w:rPr>
                <w:color w:val="000000"/>
              </w:rPr>
              <w:t>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13. Shareholders’ Equity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Ordinary Shares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Each holder of ordinary shares is entitled to one vote per ordinary share and to receive dividends when and if such dividends are recommended by the </w:t>
      </w:r>
      <w:r>
        <w:rPr>
          <w:rFonts w:ascii="Times New Roman;serif" w:hAnsi="Times New Roman;serif"/>
          <w:b w:val="false"/>
          <w:color w:val="000000"/>
          <w:sz w:val="20"/>
          <w:shd w:fill="FFFFFF" w:val="clear"/>
        </w:rPr>
        <w:t>Company’s</w:t>
      </w:r>
      <w:r>
        <w:rPr>
          <w:color w:val="000000"/>
        </w:rPr>
        <w:t xml:space="preserve"> </w:t>
      </w:r>
      <w:r>
        <w:rPr>
          <w:rFonts w:ascii="Times New Roman;serif" w:hAnsi="Times New Roman;serif"/>
          <w:b w:val="false"/>
          <w:color w:val="000000"/>
          <w:sz w:val="20"/>
        </w:rPr>
        <w:t>board of directors and declared by the shareholders. As of June 30, 2026, the Company has not declared any dividends.</w:t>
      </w:r>
    </w:p>
    <w:p>
      <w:pPr>
        <w:pStyle w:val="TextBody"/>
        <w:bidi w:val="0"/>
        <w:spacing w:lineRule="auto" w:line="288" w:before="240" w:after="283"/>
        <w:jc w:val="both"/>
        <w:rPr>
          <w:rFonts w:ascii="Times New Roman;serif" w:hAnsi="Times New Roman;serif"/>
          <w:b/>
          <w:i/>
          <w:color w:val="212529"/>
          <w:sz w:val="20"/>
        </w:rPr>
      </w:pPr>
      <w:r>
        <w:rPr>
          <w:rFonts w:ascii="Times New Roman;serif" w:hAnsi="Times New Roman;serif"/>
          <w:b/>
          <w:i/>
          <w:color w:val="212529"/>
          <w:sz w:val="20"/>
        </w:rPr>
        <w:t>Restricted Stock Units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restricted stock unit awards for 12,500 ordinary shares had vested but the underlying shares had not been issued. However, these vested restricted stock unit awards have been included in the calculation of the Company’s outstanding shares at June 30, 2026 as they are considered issuable for little or no cash consideration. Subsequent to June 30, 2026, 12,500 of the underlying ordinary shares were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36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14. Share-Based Compensation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2025 Employee Share Purchase Plan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2025, the Company’s board of directors adopted the 2025 Employee Share Purchase Plan (the “Purchase Plan” or “ESPP”), which became effective upon approval by the Company’s shareholders in June 2025. The following description of the Purchase Plan is a summary only and is qualified in its entirety by reference to the complete text of the Purchase Plan. Subject to adjustment for certain changes in the Company’s capitalization, the maximum number of Shares (as defined therein) that may be issued under the Purchase Plan is 3,000,000. The Purchase Plan includes both (i) a 423 Component (as defined therein), which is intended to be used to grant rights to purchase Shares which qualify as options issued under an “employee stock purchase plan” as that term is defined in Section 423(b) of the U.S. Internal Revenue Code of 1986, as amended (the “Code”), and (ii) a Non-423 Component (as defined therein), which is intended to be used to grant rights to purchase Shares which do not qualify for such treatment under the Code. The UK Sharesave Sub-Plan has been adopted as a sub-plan to the Purchase Plan. The Sharesave is a UK “all employee” share option plan, which is intended to satisfy the requirements of Schedule 3 of ITEPA for tax qualifying save-as-you-earn share options plans. The Purchase Plan, including any sub-plans, is administered by the Company’s board of directors, which may delegate such administration to a committee comprised of one or more members of the board. The plan administrator has the power, subject to the provisions of the Purchase Plan, to determine when and how rights to purchase the Company’s shares will be granted, the provisions of each offering of such rights (which need not be identical), and whether employees of any of Autolus parent or subsidiary companies will be eligible to participate in the Purchase Plan. The Company initiated its first purchase period in July 2026 and has not granted shares under the ESPP as of June 30,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2025 Inducement Plan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2025 Inducement Plan (the “2025 Inducement Plan”) became effective on March 27, 2025 and, in accordance with Nasdaq listing rules and the SEC requirements, provides for issuance of inducement equity awards to qualifying individuals in connection with their entering into employment with the Company or its affiliates. Awards granted under the 2025 Inducement Plan will not exceed 3,000,000 ADSs, representing an equal number of ordinary shares. Equity awards granted under the 2025 Inducement Plan generally vest in the same manner as other Company share option awards, with 25% of the share option awards vesting one year after the vesting commencement date and the remainder of the awards vesting in equal monthly installments over three additional years. Restricted share unit awards under the 2025 Inducement Plan generally vest in four equal annual installments.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share-based compensation expense included in the unaudited condensed consolidated statements of operations and comprehensive loss (in thousands):</w:t>
      </w:r>
    </w:p>
    <w:tbl>
      <w:tblPr>
        <w:tblW w:w="10205" w:type="dxa"/>
        <w:jc w:val="center"/>
        <w:tblInd w:w="0" w:type="dxa"/>
        <w:tblLayout w:type="fixed"/>
        <w:tblCellMar>
          <w:top w:w="28" w:type="dxa"/>
          <w:left w:w="28" w:type="dxa"/>
          <w:bottom w:w="28" w:type="dxa"/>
          <w:right w:w="28" w:type="dxa"/>
        </w:tblCellMar>
      </w:tblPr>
      <w:tblGrid>
        <w:gridCol w:w="1763"/>
        <w:gridCol w:w="1541"/>
        <w:gridCol w:w="1550"/>
        <w:gridCol w:w="246"/>
        <w:gridCol w:w="737"/>
        <w:gridCol w:w="127"/>
        <w:gridCol w:w="127"/>
        <w:gridCol w:w="127"/>
        <w:gridCol w:w="127"/>
        <w:gridCol w:w="246"/>
        <w:gridCol w:w="737"/>
        <w:gridCol w:w="127"/>
        <w:gridCol w:w="109"/>
        <w:gridCol w:w="109"/>
        <w:gridCol w:w="109"/>
        <w:gridCol w:w="224"/>
        <w:gridCol w:w="672"/>
        <w:gridCol w:w="115"/>
        <w:gridCol w:w="115"/>
        <w:gridCol w:w="115"/>
        <w:gridCol w:w="115"/>
        <w:gridCol w:w="224"/>
        <w:gridCol w:w="672"/>
        <w:gridCol w:w="171"/>
      </w:tblGrid>
      <w:tr>
        <w:trPr/>
        <w:tc>
          <w:tcPr>
            <w:tcW w:w="176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net</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to prepaid expenses and other non-current assets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share-based compensation expense</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4,595</w:t>
            </w:r>
            <w:r>
              <w:rPr>
                <w:color w:val="000000"/>
              </w:rPr>
              <w:t>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4,293</w:t>
            </w:r>
            <w:r>
              <w:rPr>
                <w:color w:val="000000"/>
              </w:rPr>
              <w:t>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8,160</w:t>
            </w:r>
            <w:r>
              <w:rPr>
                <w:color w:val="000000"/>
              </w:rPr>
              <w:t>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7,160</w:t>
            </w:r>
            <w:r>
              <w:rPr>
                <w:color w:val="000000"/>
              </w:rPr>
              <w:t>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Options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Company’s share option activity during the six months ended June 30, 2026:</w:t>
      </w:r>
    </w:p>
    <w:tbl>
      <w:tblPr>
        <w:tblW w:w="10205" w:type="dxa"/>
        <w:jc w:val="left"/>
        <w:tblInd w:w="0" w:type="dxa"/>
        <w:tblLayout w:type="fixed"/>
        <w:tblCellMar>
          <w:top w:w="28" w:type="dxa"/>
          <w:left w:w="28" w:type="dxa"/>
          <w:bottom w:w="28" w:type="dxa"/>
          <w:right w:w="28" w:type="dxa"/>
        </w:tblCellMar>
      </w:tblPr>
      <w:tblGrid>
        <w:gridCol w:w="1094"/>
        <w:gridCol w:w="961"/>
        <w:gridCol w:w="963"/>
        <w:gridCol w:w="124"/>
        <w:gridCol w:w="124"/>
        <w:gridCol w:w="124"/>
        <w:gridCol w:w="627"/>
        <w:gridCol w:w="627"/>
        <w:gridCol w:w="393"/>
        <w:gridCol w:w="124"/>
        <w:gridCol w:w="124"/>
        <w:gridCol w:w="124"/>
        <w:gridCol w:w="340"/>
        <w:gridCol w:w="849"/>
        <w:gridCol w:w="177"/>
        <w:gridCol w:w="124"/>
        <w:gridCol w:w="124"/>
        <w:gridCol w:w="124"/>
        <w:gridCol w:w="437"/>
        <w:gridCol w:w="437"/>
        <w:gridCol w:w="439"/>
        <w:gridCol w:w="124"/>
        <w:gridCol w:w="124"/>
        <w:gridCol w:w="124"/>
        <w:gridCol w:w="286"/>
        <w:gridCol w:w="859"/>
        <w:gridCol w:w="228"/>
      </w:tblGrid>
      <w:tr>
        <w:trPr/>
        <w:tc>
          <w:tcPr>
            <w:tcW w:w="109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w:t>
              <w:br/>
              <w:t>Options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w:t>
              <w:br/>
              <w:t xml:space="preserve">Exercise </w:t>
              <w:br/>
              <w:t>Price per share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w:t>
              <w:br/>
              <w:t xml:space="preserve">Remaining </w:t>
              <w:br/>
              <w:t xml:space="preserve">Contractual </w:t>
              <w:br/>
              <w:t xml:space="preserve">Term </w:t>
              <w:br/>
              <w:t>(Years)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Aggregate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Intrinsic </w:t>
            </w:r>
          </w:p>
          <w:p>
            <w:pPr>
              <w:pStyle w:val="TableContents"/>
              <w:bidi w:val="0"/>
              <w:spacing w:lineRule="auto" w:line="240" w:before="0" w:after="0"/>
              <w:jc w:val="center"/>
              <w:rPr/>
            </w:pPr>
            <w:r>
              <w:rPr>
                <w:rFonts w:ascii="Times New Roman;serif" w:hAnsi="Times New Roman;serif"/>
                <w:b/>
                <w:color w:val="000000"/>
                <w:sz w:val="20"/>
              </w:rPr>
              <w:t xml:space="preserve">Value </w:t>
            </w:r>
            <w:r>
              <w:rPr>
                <w:rFonts w:ascii="Times New Roman;serif" w:hAnsi="Times New Roman;serif"/>
                <w:b/>
                <w:color w:val="000000"/>
                <w:sz w:val="13"/>
              </w:rPr>
              <w:t>(1)</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as of December 31, 2025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31,130,935</w:t>
            </w:r>
            <w:r>
              <w:rPr>
                <w:color w:val="000000"/>
              </w:rPr>
              <w:t> </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4.11</w:t>
            </w: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1,977</w:t>
            </w:r>
            <w:r>
              <w:rPr>
                <w:color w:val="000000"/>
              </w:rPr>
              <w:t>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7,717,785 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(1,096,871)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(345,233)</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as of June 30, 2026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37,399,862</w:t>
            </w:r>
            <w:r>
              <w:rPr>
                <w:color w:val="000000"/>
              </w:rPr>
              <w:t> </w:t>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768</w:t>
            </w:r>
            <w:r>
              <w:rPr>
                <w:color w:val="000000"/>
              </w:rPr>
              <w:t>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19,261,927 </w:t>
            </w:r>
          </w:p>
        </w:tc>
        <w:tc>
          <w:tcPr>
            <w:tcW w:w="39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7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2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37,399,862 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(1) Aggregate intrinsic value is calculated as the difference between the exercise price of the underlying options and the fair value of ordinary shares for those options in the money as of June 30, 2026.</w:t>
            </w:r>
          </w:p>
        </w:tc>
      </w:tr>
    </w:tbl>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weighted average grant-date fair value of share options granted was $1.09 per share option for the six months ended June 30, 2026. The weighted average grant-date fair value of share options granted was $1.38 per share option for the six months ended June 30, 2025.</w:t>
      </w:r>
    </w:p>
    <w:p>
      <w:pPr>
        <w:pStyle w:val="TextBody"/>
        <w:bidi w:val="0"/>
        <w:spacing w:lineRule="auto" w:line="247" w:before="120" w:after="283"/>
        <w:ind w:left="0" w:right="0" w:firstLine="630"/>
        <w:jc w:val="both"/>
        <w:rPr/>
      </w:pPr>
      <w:r>
        <w:rPr>
          <w:rFonts w:ascii="Times New Roman;serif" w:hAnsi="Times New Roman;serif"/>
          <w:b w:val="false"/>
          <w:color w:val="000000"/>
          <w:sz w:val="24"/>
        </w:rPr>
        <w:t>T</w:t>
      </w:r>
      <w:r>
        <w:rPr>
          <w:rFonts w:ascii="Times New Roman;serif" w:hAnsi="Times New Roman;serif"/>
          <w:b w:val="false"/>
          <w:color w:val="000000"/>
          <w:sz w:val="20"/>
        </w:rPr>
        <w:t>he total intrinsic value of share options exercised was less than $0.1 million for the six months ended June 30, 2026. There were no share options exercised during the six months ended June 30, 2025, respectively.</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total unrecognized compensation expense related to unvested share options was $12.9 million, which the Company expects to recognize over a weighted average vesting period of 3.09 years.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The table below summarizes </w:t>
      </w:r>
      <w:r>
        <w:rPr>
          <w:rFonts w:ascii="Times New Roman;serif" w:hAnsi="Times New Roman;serif"/>
          <w:b w:val="false"/>
          <w:color w:val="000000"/>
          <w:sz w:val="20"/>
          <w:shd w:fill="FFFFFF" w:val="clear"/>
        </w:rPr>
        <w:t>Company’s</w:t>
      </w:r>
      <w:r>
        <w:rPr>
          <w:color w:val="000000"/>
        </w:rPr>
        <w:t xml:space="preserve"> </w:t>
      </w:r>
      <w:r>
        <w:rPr>
          <w:rFonts w:ascii="Times New Roman;serif" w:hAnsi="Times New Roman;serif"/>
          <w:b w:val="false"/>
          <w:color w:val="000000"/>
          <w:sz w:val="20"/>
        </w:rPr>
        <w:t>restricted stock unit (“RSU”) awards activity during the three months ended June 30, 2026:</w:t>
      </w:r>
    </w:p>
    <w:tbl>
      <w:tblPr>
        <w:tblW w:w="7889" w:type="dxa"/>
        <w:jc w:val="left"/>
        <w:tblInd w:w="0" w:type="dxa"/>
        <w:tblLayout w:type="fixed"/>
        <w:tblCellMar>
          <w:top w:w="28" w:type="dxa"/>
          <w:left w:w="28" w:type="dxa"/>
          <w:bottom w:w="28" w:type="dxa"/>
          <w:right w:w="28" w:type="dxa"/>
        </w:tblCellMar>
      </w:tblPr>
      <w:tblGrid>
        <w:gridCol w:w="1503"/>
        <w:gridCol w:w="1324"/>
        <w:gridCol w:w="1327"/>
        <w:gridCol w:w="109"/>
        <w:gridCol w:w="109"/>
        <w:gridCol w:w="109"/>
        <w:gridCol w:w="495"/>
        <w:gridCol w:w="496"/>
        <w:gridCol w:w="351"/>
        <w:gridCol w:w="109"/>
        <w:gridCol w:w="109"/>
        <w:gridCol w:w="109"/>
        <w:gridCol w:w="411"/>
        <w:gridCol w:w="1027"/>
        <w:gridCol w:w="301"/>
      </w:tblGrid>
      <w:tr>
        <w:trPr/>
        <w:tc>
          <w:tcPr>
            <w:tcW w:w="15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w:t>
              <w:br/>
              <w:t xml:space="preserve">restricted </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w:t>
              <w:br/>
              <w:t xml:space="preserve">grant date </w:t>
              <w:br/>
              <w:t>fair value</w:t>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Unvested and 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92,500</w:t>
            </w:r>
            <w:r>
              <w:rPr>
                <w:color w:val="000000"/>
              </w:rPr>
              <w:t>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4,393,554 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(222,250)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Unvested and 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4,251,304</w:t>
            </w:r>
            <w:r>
              <w:rPr>
                <w:color w:val="000000"/>
              </w:rPr>
              <w:t> </w:t>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w:t>
            </w:r>
            <w:r>
              <w:rPr>
                <w:color w:val="000000"/>
              </w:rPr>
              <w:t>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$5.8 million of unrecognized share-based compensation expense related to unvested RSUs which is expected to be recognized over a weighted average period of 3.69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15. Liabilities Related to Future Royalties and Milestones,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 of the Company’s liabilities related to future royalties and milestones, net (in thousands):</w:t>
      </w:r>
    </w:p>
    <w:tbl>
      <w:tblPr>
        <w:tblW w:w="8402" w:type="dxa"/>
        <w:jc w:val="left"/>
        <w:tblInd w:w="0" w:type="dxa"/>
        <w:tblLayout w:type="fixed"/>
        <w:tblCellMar>
          <w:top w:w="28" w:type="dxa"/>
          <w:left w:w="28" w:type="dxa"/>
          <w:bottom w:w="28" w:type="dxa"/>
          <w:right w:w="28" w:type="dxa"/>
        </w:tblCellMar>
      </w:tblPr>
      <w:tblGrid>
        <w:gridCol w:w="2485"/>
        <w:gridCol w:w="2188"/>
        <w:gridCol w:w="2196"/>
        <w:gridCol w:w="109"/>
        <w:gridCol w:w="109"/>
        <w:gridCol w:w="109"/>
        <w:gridCol w:w="211"/>
        <w:gridCol w:w="841"/>
        <w:gridCol w:w="154"/>
      </w:tblGrid>
      <w:tr>
        <w:trPr/>
        <w:tc>
          <w:tcPr>
            <w:tcW w:w="248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280,200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accrued on liabilities related to future royalties and milestones,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catch-up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284,300</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interest expense on liabilities related to future royalties and milestones, net amounted to $12.4 million and $10.7 million, respectively. During the six months ended June 30, 2026 and 2025, interest expense on liabilities related to future royalties and milestones, net amounted to $23.5 million and $20.8 million, respectively.</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During the three months ended </w:t>
      </w:r>
      <w:r>
        <w:rPr>
          <w:rFonts w:ascii="Times New Roman;serif" w:hAnsi="Times New Roman;serif"/>
          <w:b w:val="false"/>
          <w:color w:val="000000"/>
          <w:sz w:val="20"/>
        </w:rPr>
        <w:t>June 30, 2026 and 2025</w:t>
      </w:r>
      <w:r>
        <w:rPr>
          <w:rFonts w:ascii="Times New Roman;serif" w:hAnsi="Times New Roman;serif"/>
          <w:b w:val="false"/>
          <w:color w:val="000000"/>
          <w:sz w:val="20"/>
          <w:shd w:fill="FFFFFF" w:val="clear"/>
        </w:rPr>
        <w:t xml:space="preserve">, the cumulative catch-up adjustment amounted to </w:t>
      </w:r>
      <w:r>
        <w:rPr>
          <w:rFonts w:ascii="Times New Roman;serif" w:hAnsi="Times New Roman;serif"/>
          <w:b w:val="false"/>
          <w:color w:val="000000"/>
          <w:sz w:val="20"/>
        </w:rPr>
        <w:t>$15.2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$17.5 million, respectively</w:t>
      </w:r>
      <w:r>
        <w:rPr>
          <w:rFonts w:ascii="Times New Roman;serif" w:hAnsi="Times New Roman;serif"/>
          <w:b w:val="false"/>
          <w:color w:val="000000"/>
          <w:sz w:val="20"/>
          <w:shd w:fill="FFFFFF" w:val="clear"/>
        </w:rPr>
        <w:t xml:space="preserve">. During the six months ended </w:t>
      </w:r>
      <w:r>
        <w:rPr>
          <w:rFonts w:ascii="Times New Roman;serif" w:hAnsi="Times New Roman;serif"/>
          <w:b w:val="false"/>
          <w:color w:val="000000"/>
          <w:sz w:val="20"/>
        </w:rPr>
        <w:t>June 30, 2026 and 2025</w:t>
      </w:r>
      <w:r>
        <w:rPr>
          <w:rFonts w:ascii="Times New Roman;serif" w:hAnsi="Times New Roman;serif"/>
          <w:b w:val="false"/>
          <w:color w:val="000000"/>
          <w:sz w:val="20"/>
          <w:shd w:fill="FFFFFF" w:val="clear"/>
        </w:rPr>
        <w:t xml:space="preserve">, the cumulative catch-up adjustment amounted to negative </w:t>
      </w:r>
      <w:r>
        <w:rPr>
          <w:rFonts w:ascii="Times New Roman;serif" w:hAnsi="Times New Roman;serif"/>
          <w:b w:val="false"/>
          <w:color w:val="000000"/>
          <w:sz w:val="20"/>
        </w:rPr>
        <w:t>$15.2 million and</w:t>
      </w:r>
      <w:r>
        <w:rPr>
          <w:color w:val="000000"/>
          <w:shd w:fill="FFFFFF" w:val="clear"/>
        </w:rPr>
        <w:t xml:space="preserve"> </w:t>
      </w:r>
      <w:r>
        <w:rPr>
          <w:rFonts w:ascii="Times New Roman;serif" w:hAnsi="Times New Roman;serif"/>
          <w:b w:val="false"/>
          <w:color w:val="000000"/>
          <w:sz w:val="20"/>
        </w:rPr>
        <w:t>$17.5 million, respectively.</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Blackstone Collaboration Agreement</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November 6, 2021, the Company concurrently entered into the following agreements with BXLS V - Autobahn L.P, (“Blackstone”): (i) Strategic Collaboration Agreement (the “Blackstone Collaboration Agreement”), (ii) Securities Purchase Agreement (the “Blackstone Securities Purchase Agreement”), (iii) Warrant Agreement (the “Blackstone Warrant”) and (iv) Registration Rights Agreement (the “Blackstone Registration Rights Agreement”). The Blackstone Collaboration Agreement, the Blackstone Securities Purchase Agreement, the Blackstone Warrant and the Blackstone Registration Rights Agreement are collectively referred to as the “Blackstone Agreements”. The Blackstone Agreements were entered into in contemplation of one another and, accordingly, the Company assessed the accounting for the Blackstone Agreements in the aggregate. </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further details on the terms and accounting treatment considerations for these contracts, please refer to following notes to the Company’s consolidated financial statements contained in the Company’s Annual Report:</w:t>
      </w:r>
    </w:p>
    <w:p>
      <w:pPr>
        <w:pStyle w:val="TextBody"/>
        <w:bidi w:val="0"/>
        <w:spacing w:lineRule="auto" w:line="288" w:before="120" w:after="283"/>
        <w:ind w:left="0" w:right="0" w:firstLine="360"/>
        <w:jc w:val="both"/>
        <w:rPr/>
      </w:pPr>
      <w:r>
        <w:rPr>
          <w:color w:val="212529"/>
          <w:shd w:fill="FFFFFF" w:val="clear"/>
        </w:rPr>
        <w:t>•</w:t>
      </w:r>
      <w:r>
        <w:rPr>
          <w:rFonts w:ascii="Times New Roman;serif" w:hAnsi="Times New Roman;serif"/>
          <w:b w:val="false"/>
          <w:color w:val="000000"/>
          <w:sz w:val="20"/>
          <w:shd w:fill="FFFFFF" w:val="clear"/>
        </w:rPr>
        <w:t xml:space="preserve">Note 12, “Liabilities related to future royalties and milestones, net” </w:t>
      </w:r>
    </w:p>
    <w:p>
      <w:pPr>
        <w:pStyle w:val="TextBody"/>
        <w:bidi w:val="0"/>
        <w:spacing w:lineRule="auto" w:line="288" w:before="60" w:after="283"/>
        <w:ind w:left="0" w:right="0" w:firstLine="360"/>
        <w:jc w:val="both"/>
        <w:rPr/>
      </w:pPr>
      <w:r>
        <w:rPr>
          <w:color w:val="212529"/>
          <w:shd w:fill="FFFFFF" w:val="clear"/>
        </w:rPr>
        <w:t>•</w:t>
      </w:r>
      <w:r>
        <w:rPr>
          <w:rFonts w:ascii="Times New Roman;serif" w:hAnsi="Times New Roman;serif"/>
          <w:b w:val="false"/>
          <w:color w:val="000000"/>
          <w:sz w:val="20"/>
        </w:rPr>
        <w:t xml:space="preserve">Note 13, </w:t>
      </w:r>
      <w:r>
        <w:rPr>
          <w:color w:val="000000"/>
          <w:shd w:fill="FFFFFF" w:val="clear"/>
        </w:rPr>
        <w:t>“</w:t>
      </w:r>
      <w:r>
        <w:rPr>
          <w:rFonts w:ascii="Times New Roman;serif" w:hAnsi="Times New Roman;serif"/>
          <w:b w:val="false"/>
          <w:color w:val="000000"/>
          <w:sz w:val="20"/>
        </w:rPr>
        <w:t>Warrants</w:t>
      </w:r>
      <w:r>
        <w:rPr>
          <w:color w:val="000000"/>
          <w:shd w:fill="FFFFFF" w:val="clear"/>
        </w:rPr>
        <w:t>”</w:t>
      </w:r>
    </w:p>
    <w:p>
      <w:pPr>
        <w:pStyle w:val="TextBody"/>
        <w:bidi w:val="0"/>
        <w:spacing w:lineRule="auto" w:line="288" w:before="60" w:after="283"/>
        <w:ind w:left="0" w:right="0" w:firstLine="360"/>
        <w:jc w:val="both"/>
        <w:rPr/>
      </w:pPr>
      <w:r>
        <w:rPr>
          <w:color w:val="000000"/>
          <w:shd w:fill="FFFFFF" w:val="clear"/>
        </w:rPr>
        <w:t>•</w:t>
      </w:r>
      <w:r>
        <w:rPr>
          <w:rFonts w:ascii="Times New Roman;serif" w:hAnsi="Times New Roman;serif"/>
          <w:b w:val="false"/>
          <w:color w:val="000000"/>
          <w:sz w:val="20"/>
          <w:shd w:fill="FFFFFF" w:val="clear"/>
        </w:rPr>
        <w:t>Note 14, “Shareholders’ equity”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2021, the upfront payment of $50.0 million was paid by Blackstone upon execution of the Blackstone Collaboration Agreement. In December 2022, two Blackstone Development Payments were paid by Blackstone of $35.0 million each as a result of (i) the joint steering committee’s review of the Company’s interim analysis of pivotal FELIX Phase 2 clinical trial of obe-cel in r/r B-ALL and (ii) achievement of a pre-agreed manufacturing milestone as a result of completion of planned activities demonstrating the performance and qualification of the Company’s obe-cel’s manufacturing process. On November 8, 2024, the Company was notified by the FDA that the Company has been granted marketing approval for AUCATZYL for the treatment of adult patients (18 years and older) with r/r B-ALL. The remaining $30.0 million of Blackstone Development Payments due upon such approval were paid to the Company in December 2024.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BioNTech Agreements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6, 2024, the Company concurrently entered into the BioNTech Agreements. The BioNTech Agreements were entered into in contemplation of one another and, accordingly, the Company assessed the accounting for these agreements in the aggregate. The following descriptions of the BioNTech Agreements do not purport to be complete and are qualified in their entirety by reference to the full texts of such agreements.</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120" w:after="283"/>
        <w:ind w:left="0" w:right="0" w:firstLine="720"/>
        <w:jc w:val="both"/>
        <w:rPr/>
      </w:pPr>
      <w:r>
        <w:rPr/>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further details on the terms and accounting treatment considerations for these contracts, please refer to following notes to the Company’s consolidated financial statements contained in the Company’s Annual Report:</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Note 2, “Summary of significant accounting policies”</w:t>
      </w:r>
    </w:p>
    <w:p>
      <w:pPr>
        <w:pStyle w:val="TextBody"/>
        <w:bidi w:val="0"/>
        <w:spacing w:lineRule="auto" w:line="288" w:before="60" w:after="283"/>
        <w:ind w:left="0" w:right="0" w:firstLine="360"/>
        <w:jc w:val="both"/>
        <w:rPr/>
      </w:pPr>
      <w:r>
        <w:rPr>
          <w:color w:val="000000"/>
        </w:rPr>
        <w:t>•</w:t>
      </w:r>
      <w:r>
        <w:rPr>
          <w:rFonts w:ascii="Times New Roman;serif" w:hAnsi="Times New Roman;serif"/>
          <w:b w:val="false"/>
          <w:color w:val="000000"/>
          <w:sz w:val="20"/>
        </w:rPr>
        <w:t>Note 3, “Revenue”</w:t>
      </w:r>
    </w:p>
    <w:p>
      <w:pPr>
        <w:pStyle w:val="TextBody"/>
        <w:bidi w:val="0"/>
        <w:spacing w:lineRule="auto" w:line="288" w:before="60" w:after="283"/>
        <w:ind w:left="0" w:right="0" w:firstLine="360"/>
        <w:jc w:val="both"/>
        <w:rPr/>
      </w:pPr>
      <w:r>
        <w:rPr>
          <w:color w:val="212529"/>
          <w:shd w:fill="FFFFFF" w:val="clear"/>
        </w:rPr>
        <w:t>•</w:t>
      </w:r>
      <w:r>
        <w:rPr>
          <w:rFonts w:ascii="Times New Roman;serif" w:hAnsi="Times New Roman;serif"/>
          <w:b w:val="false"/>
          <w:color w:val="000000"/>
          <w:sz w:val="20"/>
          <w:shd w:fill="FFFFFF" w:val="clear"/>
        </w:rPr>
        <w:t xml:space="preserve">Note 12, “Liabilities related to future royalties and milestones, net” </w:t>
      </w:r>
    </w:p>
    <w:p>
      <w:pPr>
        <w:pStyle w:val="TextBody"/>
        <w:bidi w:val="0"/>
        <w:spacing w:lineRule="auto" w:line="288" w:before="60" w:after="283"/>
        <w:ind w:left="0" w:right="0" w:firstLine="360"/>
        <w:jc w:val="both"/>
        <w:rPr/>
      </w:pPr>
      <w:r>
        <w:rPr>
          <w:color w:val="000000"/>
        </w:rPr>
        <w:t>•</w:t>
      </w:r>
      <w:r>
        <w:rPr>
          <w:rFonts w:ascii="Times New Roman;serif" w:hAnsi="Times New Roman;serif"/>
          <w:b w:val="false"/>
          <w:color w:val="000000"/>
          <w:sz w:val="20"/>
        </w:rPr>
        <w:t>Note 14, “Shareholders’ equity”</w:t>
      </w:r>
    </w:p>
    <w:p>
      <w:pPr>
        <w:pStyle w:val="TextBody"/>
        <w:bidi w:val="0"/>
        <w:spacing w:lineRule="auto" w:line="288" w:before="60" w:after="283"/>
        <w:ind w:left="0" w:right="0" w:firstLine="360"/>
        <w:jc w:val="both"/>
        <w:rPr/>
      </w:pPr>
      <w:r>
        <w:rPr>
          <w:color w:val="000000"/>
        </w:rPr>
        <w:t>•</w:t>
      </w:r>
      <w:r>
        <w:rPr>
          <w:rFonts w:ascii="Times New Roman;serif" w:hAnsi="Times New Roman;serif"/>
          <w:b w:val="false"/>
          <w:color w:val="000000"/>
          <w:sz w:val="20"/>
        </w:rPr>
        <w:t>Note 20, “Commitments and contingencies”</w:t>
      </w:r>
    </w:p>
    <w:p>
      <w:pPr>
        <w:pStyle w:val="TextBody"/>
        <w:bidi w:val="0"/>
        <w:spacing w:lineRule="auto" w:line="288" w:before="240" w:after="283"/>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Obe-cel Product Revenue Interest</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Under the BioNTech License and Option Agreement, BioNTech has agreed to financially support the expansion of the clinical development program for, and planned commercialization of obe-cel. In exchange for the grant of rights to future revenues from the sales of obe-cel products, BioNTech made an upfront payment to the Company of $40.0 million. The Company will pay BioNTech a low single-digit percentage of annual net sales of obe-cel products, which may be increased up to a mid-single digit percentage in exchange for milestone payments of up to $100.0 million in the aggregate on achievement of certain regulatory events for specific new indications upon BioNTech</w:t>
      </w:r>
      <w:r>
        <w:rPr>
          <w:color w:val="000000"/>
        </w:rPr>
        <w:t>’</w:t>
      </w:r>
      <w:r>
        <w:rPr>
          <w:rFonts w:ascii="Times New Roman;serif" w:hAnsi="Times New Roman;serif"/>
          <w:b w:val="false"/>
          <w:color w:val="000000"/>
          <w:sz w:val="20"/>
          <w:shd w:fill="FFFFFF" w:val="clear"/>
        </w:rPr>
        <w:t xml:space="preserve">s election. </w:t>
      </w:r>
      <w:r>
        <w:rPr>
          <w:rFonts w:ascii="Times New Roman;serif" w:hAnsi="Times New Roman;serif"/>
          <w:b w:val="false"/>
          <w:color w:val="000000"/>
          <w:sz w:val="20"/>
        </w:rPr>
        <w:t xml:space="preserve">The Company has accounted for the Obe-cel Product Revenue Interest as a liability primarily due to the Company’s significant continuing involvement in generating the royalty stream. In February 2024, the Company initially recognized the BioNTech Liability at $38.3 million being the face value less debt issuance costs.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 of the Blackstone Collaboration Liability and BioNTech Liability is based on the Company’s estimate of the future royalties to be paid to Blackstone and BioNTech over the life of the arrangement as discounted using an effective interest rate. The excess or deficit of estimated present value of future royalties over the initial carrying amount, is recognized using the cumulative catch-up method within interest expense using the initial effective interest rate. The imputed rate of interest on the unamortized portion of the Blackstone Collaboration Liability and BioNTech Liability was approximately 15.80% and 28.70% as of June 30, 2026 and 2025, respectively.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 quarterly basis, the Company assesses the amount and timing of expected royalty payments using a combination of internal projections and forecasts from external sources. To the extent the present value of such payments is greater or less than its initial estimates or the timing of such payments is materially different than its original estimates, the Company will adjust the amortization of the BioNTech Liability using the cumulative catch-up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16. Leases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leases - Lessee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office space, laboratory space, and equipment. At the inception of an arrangement, the Company determines whether the arrangement is or contains a lease based on the unique facts and circumstances present.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costs as a lessee for the three and six months ended June 30, 2026 and 2025 were as follows (in thousands):</w:t>
      </w:r>
    </w:p>
    <w:tbl>
      <w:tblPr>
        <w:tblW w:w="7561" w:type="dxa"/>
        <w:jc w:val="left"/>
        <w:tblInd w:w="0" w:type="dxa"/>
        <w:tblLayout w:type="fixed"/>
        <w:tblCellMar>
          <w:top w:w="28" w:type="dxa"/>
          <w:left w:w="28" w:type="dxa"/>
          <w:bottom w:w="28" w:type="dxa"/>
          <w:right w:w="28" w:type="dxa"/>
        </w:tblCellMar>
      </w:tblPr>
      <w:tblGrid>
        <w:gridCol w:w="673"/>
        <w:gridCol w:w="591"/>
        <w:gridCol w:w="595"/>
        <w:gridCol w:w="109"/>
        <w:gridCol w:w="109"/>
        <w:gridCol w:w="109"/>
        <w:gridCol w:w="248"/>
        <w:gridCol w:w="743"/>
        <w:gridCol w:w="128"/>
        <w:gridCol w:w="128"/>
        <w:gridCol w:w="128"/>
        <w:gridCol w:w="128"/>
        <w:gridCol w:w="248"/>
        <w:gridCol w:w="743"/>
        <w:gridCol w:w="128"/>
        <w:gridCol w:w="109"/>
        <w:gridCol w:w="109"/>
        <w:gridCol w:w="109"/>
        <w:gridCol w:w="225"/>
        <w:gridCol w:w="674"/>
        <w:gridCol w:w="116"/>
        <w:gridCol w:w="116"/>
        <w:gridCol w:w="116"/>
        <w:gridCol w:w="116"/>
        <w:gridCol w:w="225"/>
        <w:gridCol w:w="674"/>
        <w:gridCol w:w="16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3,261</w:t>
            </w:r>
            <w:r>
              <w:rPr>
                <w:color w:val="000000"/>
              </w:rPr>
              <w:t>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2,491</w:t>
            </w:r>
            <w:r>
              <w:rPr>
                <w:color w:val="000000"/>
              </w:rPr>
              <w:t>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6,292</w:t>
            </w: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5,174</w:t>
            </w:r>
            <w:r>
              <w:rPr>
                <w:color w:val="000000"/>
              </w:rPr>
              <w:t>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for the six months ended June 30, 2026 and 2025 were as follows (in thousands):</w:t>
      </w:r>
    </w:p>
    <w:tbl>
      <w:tblPr>
        <w:tblW w:w="10205" w:type="dxa"/>
        <w:jc w:val="left"/>
        <w:tblInd w:w="0" w:type="dxa"/>
        <w:tblLayout w:type="fixed"/>
        <w:tblCellMar>
          <w:top w:w="28" w:type="dxa"/>
          <w:left w:w="28" w:type="dxa"/>
          <w:bottom w:w="28" w:type="dxa"/>
          <w:right w:w="28" w:type="dxa"/>
        </w:tblCellMar>
      </w:tblPr>
      <w:tblGrid>
        <w:gridCol w:w="1709"/>
        <w:gridCol w:w="1501"/>
        <w:gridCol w:w="1510"/>
        <w:gridCol w:w="309"/>
        <w:gridCol w:w="309"/>
        <w:gridCol w:w="309"/>
        <w:gridCol w:w="309"/>
        <w:gridCol w:w="309"/>
        <w:gridCol w:w="309"/>
        <w:gridCol w:w="129"/>
        <w:gridCol w:w="129"/>
        <w:gridCol w:w="129"/>
        <w:gridCol w:w="483"/>
        <w:gridCol w:w="336"/>
        <w:gridCol w:w="338"/>
        <w:gridCol w:w="244"/>
        <w:gridCol w:w="244"/>
        <w:gridCol w:w="244"/>
        <w:gridCol w:w="483"/>
        <w:gridCol w:w="357"/>
        <w:gridCol w:w="515"/>
      </w:tblGrid>
      <w:tr>
        <w:trPr/>
        <w:tc>
          <w:tcPr>
            <w:tcW w:w="17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5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cash (inflows) outflows from operating leases</w:t>
            </w:r>
            <w:r>
              <w:rPr>
                <w:rFonts w:ascii="Times New Roman;serif" w:hAnsi="Times New Roman;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w:t>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(1) Includes lease incentives received during the six months ended June 30, 2026 and 2025, respectively, relating to the Company’s Nucleus facility lease.</w:t>
            </w:r>
          </w:p>
        </w:tc>
      </w:tr>
      <w:tr>
        <w:trPr/>
        <w:tc>
          <w:tcPr>
            <w:tcW w:w="4720"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2087" w:type="dxa"/>
            <w:gridSpan w:val="6"/>
            <w:tcBorders/>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120" w:after="283"/>
        <w:jc w:val="left"/>
        <w:rPr/>
      </w:pPr>
      <w:r>
        <w:rPr/>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weighted average discount rate of operating leases as of June 30, 2026 and 2025 were as follows:</w:t>
      </w:r>
    </w:p>
    <w:tbl>
      <w:tblPr>
        <w:tblW w:w="7812" w:type="dxa"/>
        <w:jc w:val="left"/>
        <w:tblInd w:w="0" w:type="dxa"/>
        <w:tblLayout w:type="fixed"/>
        <w:tblCellMar>
          <w:top w:w="28" w:type="dxa"/>
          <w:left w:w="28" w:type="dxa"/>
          <w:bottom w:w="28" w:type="dxa"/>
          <w:right w:w="28" w:type="dxa"/>
        </w:tblCellMar>
      </w:tblPr>
      <w:tblGrid>
        <w:gridCol w:w="593"/>
        <w:gridCol w:w="521"/>
        <w:gridCol w:w="521"/>
        <w:gridCol w:w="521"/>
        <w:gridCol w:w="521"/>
        <w:gridCol w:w="521"/>
        <w:gridCol w:w="521"/>
        <w:gridCol w:w="521"/>
        <w:gridCol w:w="542"/>
        <w:gridCol w:w="109"/>
        <w:gridCol w:w="109"/>
        <w:gridCol w:w="109"/>
        <w:gridCol w:w="292"/>
        <w:gridCol w:w="219"/>
        <w:gridCol w:w="516"/>
        <w:gridCol w:w="196"/>
        <w:gridCol w:w="196"/>
        <w:gridCol w:w="196"/>
        <w:gridCol w:w="292"/>
        <w:gridCol w:w="219"/>
        <w:gridCol w:w="577"/>
      </w:tblGrid>
      <w:tr>
        <w:trPr/>
        <w:tc>
          <w:tcPr>
            <w:tcW w:w="59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676" w:type="dxa"/>
            <w:gridSpan w:val="6"/>
            <w:tcBorders/>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676" w:type="dxa"/>
            <w:gridSpan w:val="6"/>
            <w:tcBorders/>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676" w:type="dxa"/>
            <w:gridSpan w:val="6"/>
            <w:tcBorders/>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82"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years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years</w:t>
            </w:r>
          </w:p>
        </w:tc>
      </w:tr>
      <w:tr>
        <w:trPr/>
        <w:tc>
          <w:tcPr>
            <w:tcW w:w="47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maturities of operating lease liabilities as of June 30, 2026 were as follows (in thousands):</w:t>
      </w:r>
    </w:p>
    <w:tbl>
      <w:tblPr>
        <w:tblW w:w="4857" w:type="dxa"/>
        <w:jc w:val="left"/>
        <w:tblInd w:w="0" w:type="dxa"/>
        <w:tblLayout w:type="fixed"/>
        <w:tblCellMar>
          <w:top w:w="28" w:type="dxa"/>
          <w:left w:w="28" w:type="dxa"/>
          <w:bottom w:w="28" w:type="dxa"/>
          <w:right w:w="28" w:type="dxa"/>
        </w:tblCellMar>
      </w:tblPr>
      <w:tblGrid>
        <w:gridCol w:w="1003"/>
        <w:gridCol w:w="880"/>
        <w:gridCol w:w="892"/>
        <w:gridCol w:w="109"/>
        <w:gridCol w:w="109"/>
        <w:gridCol w:w="109"/>
        <w:gridCol w:w="109"/>
        <w:gridCol w:w="109"/>
        <w:gridCol w:w="109"/>
        <w:gridCol w:w="109"/>
        <w:gridCol w:w="109"/>
        <w:gridCol w:w="109"/>
        <w:gridCol w:w="211"/>
        <w:gridCol w:w="736"/>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83,512</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2082" w:type="dxa"/>
            <w:gridSpan w:val="1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17. Commitments and Contingencies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License Agreements</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2014, the Company entered into the UCLB License Agreement. In connection with the UCLB License Agreement, the Company is required to make annual license payments and may be required to make payments to UCLB upon the achievement of specified milestones, including upon regulatory approval for obe-cel. During the six months ended June 30, 2026, the Company paid or accrued amounts relating to the income allocable to the value of the sublicensed intellectual property rights and royalties. </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On July 18, 2025, the Company was notified by the European Commission that the Company has been granted marketing approval for AUCATZYL (obecabtagene autoleucel) for the treatment of adult patients (26 years and older) with r/r B-ALL which triggered a £6.0 million regulatory milestone payment that was paid by the Company in accordance with the UCLB License Agreement.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previous periods, the Company has entered into agreements with certain advisory firms. The Company is obligated to make specified payments upon the achievement of certain strategic transactions involving the Company. There were no fees paid or payable to strategic advisory firms during the three and six months ended June 30, 2026 and 2025, respectively.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estimated the probability of the Company achieving each potential milestone in relation to the agreements with UCLB and its agreements with certain advisory firms in accordance with ASC 450. The Company considers regulatory approval, commercial milestones and execution of collaboration agreements probable when actually achieved. Furthermore, the Company recognizes expenses for clinical milestones when their achievement is deemed probable. The Company concluded that as of June 30, 2026, there were no other milestones for which the likelihood of achievement was currently probable.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Commitments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unconditional purchase obligations for capital expenditures totaled $1.5 million and included signed orders for capital equipment and capital expenditures for construction and related expenditures relating to its properties in the United Kingdom and the United States. The Company expects to incur the full amount of these obligations within one year.</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240" w:after="283"/>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Master Supply Commitments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unconditional purchase obligations with Miltenyi Biotec GmbH for reagents and consumables totaled $1.9 million, which the Company expects to incur within one year.</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21, 2026, the Company, entered into a Master Service Agreement with AGC Biologics S.p.A (“AGC”) for the manufacture and supply of lentiviral vector (the “AGC Agreement”), a raw material which is used in Company’s manufacture of CAR-T products for clinical and commercial use. The AGC Agreement replaces and supersedes the prior arrangement between the Company and AGC, pursuant to which AGC has provided similar products and services.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Agreement sets forth the general terms and conditions applicable to AGC’s provision of products and services to the Company; specific projects will be set forth in individual work orders executed separately by the parties. The AGC Agreement contains customary provisions regarding order placement and fulfillment, governance, regulatory support, change management, risk allocation, intellectual property, and confidentiality. The AGC Agreement runs for a fixed term of ten years, and may be terminated by either party for default, or by the Company upon written notice (subject, in the latter case, to the payment of certain fees by the Company). The AGC Agreement is non-exclusive with respect to each party. However, under the Agreement and the initial statement of work thereunder, the Company has committed to purchase a minimum of 14 batches of lentiviral vector during the first two calendar years of the term, and to purchase a minimum value of EUR 25 million of products and services during the subsequent five-year period. The AGC Agreement also provides AGC with the first right to negotiate with the Company regarding the provision of new manufacturing activities in relation to obe-cel.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BioNTech License and Option Agreement - Product Options gain contingency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the Product Options within the BioNTech License and Option Agreement were an embedded feature within a freestanding financial instrument, the Company assessed if the Product Options should be accounted for as a derivative under ASC 815. However, the Company determined the Product Options met the scope exception for derivative accounting under ASC 815 and therefore should be accounted for a gain contingency under the scope of ASC 450. As of June 30, 2026 and December 31, 2025, the Product Options were not exercised and, therefore, no amounts were recognized. Refer to Note 15, “Liabilities related to future royalties and milestones, net” for further details about the BioNTech Agreements.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a party to litigation or subject to claims incident to the ordinary course of business. Regardless of the outcome, litigation can have an adverse impact on the Company due to defense and settlement costs, diversion of management resources and other factors. The Company was not a party to any litigation and did not have contingency reserves established for any liabilities as of June 30, 2026 and December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they involve claims that may be made against the Company in the future. To date, the Company has not paid any claims or been required to defend any action related to its indemnification obligations. However, the Company may record charges in the future as a result of these indemnification obligations.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indemnification agreements entered into with relevant individuals in accordance with the Company’s Articles of Association, the Company has indemnification obligations to its directors, officers and members of senior management for certain events or occurrences, subject to certain limits, while they are serving at the Company’s request in such capacity. There have been no claims to date under these indemnification agreements, and the Company has director and officer insurance that may enable it to recover a portion of any amounts paid for future potential claims.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SME Research and Development (R&amp;D) tax credit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accounting period to December 2023, based on the relevant tax legislation, the Company met the conditions of the research and development (“R&amp;D”) intensive scheme, and therefore submitted its corporate tax return on this basis. This is subject to agreement by the United Kingdom tax authority. The tax authority’s non-statutory guidance includes some expenditure in the calculation of whether a company meets the R&amp;D intensive scheme, which is in conflict with the criteria in the tax legislation. The position is uncertain and the legislation is currently untested in the United Kingdom courts. The Company is engaged in ongoing discussions with the United Kingdom tax authority regarding the R&amp;D tax credit claimed by the Company in its corporate tax return for the accounting period to December 2023. If the Company’s claim under the R&amp;D intensive scheme is unsuccessful, there will be a material reduction in the value of the tax credit obtained (18.6% as opposed to 26.97% net benefit), and certain amounts claimed by the Company may be disallowed. However, in that instance, the Company expects that normal U.K. small and medium enterprise (“SME”) relief will be available. The Company recorded a SME research and development tax credit receivable of $19.0 million (translated from pounds sterling into U.S dollars at the exchange rate in effect on March 31, 2026) within prepaid expenses and other current assets utilizing the net benefit of 18.6%. During the three months ended June 30, 2026, the Company received a partial payment of its SME R&amp;D tax credit relating to the accounting period ended December 2023 of $19.0 million (translated to U.S. dollars on the date of receipt). Should the uncertainty over the remaining payment be resolved in the Company’s favor, this would result in a gain and would be accounted for as a gain contingency under the scope of ASC 450. This uncertainty only applies to one accounting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18. Segment Reporting</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Segment loss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is a summary of the segment loss, including significant segment expenses (in thousands):</w:t>
      </w:r>
    </w:p>
    <w:tbl>
      <w:tblPr>
        <w:tblW w:w="10205" w:type="dxa"/>
        <w:jc w:val="left"/>
        <w:tblInd w:w="0" w:type="dxa"/>
        <w:tblLayout w:type="fixed"/>
        <w:tblCellMar>
          <w:top w:w="28" w:type="dxa"/>
          <w:left w:w="28" w:type="dxa"/>
          <w:bottom w:w="28" w:type="dxa"/>
          <w:right w:w="28" w:type="dxa"/>
        </w:tblCellMar>
      </w:tblPr>
      <w:tblGrid>
        <w:gridCol w:w="1220"/>
        <w:gridCol w:w="1006"/>
        <w:gridCol w:w="1005"/>
        <w:gridCol w:w="262"/>
        <w:gridCol w:w="978"/>
        <w:gridCol w:w="135"/>
        <w:gridCol w:w="135"/>
        <w:gridCol w:w="135"/>
        <w:gridCol w:w="135"/>
        <w:gridCol w:w="262"/>
        <w:gridCol w:w="978"/>
        <w:gridCol w:w="135"/>
        <w:gridCol w:w="133"/>
        <w:gridCol w:w="133"/>
        <w:gridCol w:w="133"/>
        <w:gridCol w:w="258"/>
        <w:gridCol w:w="1087"/>
        <w:gridCol w:w="133"/>
        <w:gridCol w:w="133"/>
        <w:gridCol w:w="133"/>
        <w:gridCol w:w="133"/>
        <w:gridCol w:w="258"/>
        <w:gridCol w:w="1087"/>
        <w:gridCol w:w="198"/>
      </w:tblGrid>
      <w:tr>
        <w:trPr/>
        <w:tc>
          <w:tcPr>
            <w:tcW w:w="122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net</w:t>
            </w:r>
          </w:p>
        </w:tc>
        <w:tc>
          <w:tcPr>
            <w:tcW w:w="12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45,689</w:t>
            </w: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20,923</w:t>
            </w: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71,907</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29,905</w:t>
            </w:r>
            <w:r>
              <w:rPr>
                <w:color w:val="000000"/>
              </w:rPr>
              <w:t>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Less:</w:t>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(42,396)</w:t>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clinical development</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delivery</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and Medical affairs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 functions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net </w:t>
            </w:r>
            <w:r>
              <w:rPr>
                <w:rFonts w:ascii="Times New Roman;serif" w:hAnsi="Times New Roman;serif"/>
                <w:b w:val="false"/>
                <w:color w:val="000000"/>
                <w:sz w:val="13"/>
              </w:rPr>
              <w:t>(1)</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2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(89,527)</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(82,140)</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(175,258)</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(156,362)</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2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(43,838)</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(61,217)</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(103,351)</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(126,457)</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net</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and consolidated net loss</w:t>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(39,111)</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(47,917)</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(110,709)</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(118,081)</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6"/>
              </w:rPr>
            </w:pPr>
            <w:r>
              <w:rPr>
                <w:rFonts w:ascii="Times New Roman;serif" w:hAnsi="Times New Roman;serif"/>
                <w:b w:val="false"/>
                <w:i/>
                <w:color w:val="000000"/>
                <w:sz w:val="16"/>
              </w:rPr>
              <w:t>(1) Other segment expenses, net include United Kingdom research and development tax credits, depreciation, amortization and share-based compensation expenses.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360" w:after="283"/>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19. Workforce Reduction Costs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29, 2026, the Company announced that its Board of Directors had approved a plan to improve operational efficiency and reduce operating expenses. This plan includes a reduction in force of approximately 13% of the Company's workforce, inclusive of employee-related actions that began in the second half of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substantially completed the implementation of the plan. Affected employees were offered separation benefits, including severance payments and, where applicable, temporary healthcare coverage assistance. The Company estimates that it will incur total expenses relating to the realignment of approximately $8.0 million, consisting of severance and termination-related costs. The Company recorded $4.2 million of these costs in the six months ended June 30, 2026, and $2.4 million of these costs for the year ended December 31, 2025. In addition, the Company recognized non-cash costs, such as share-based payment expense of $0.1 million and $0.2 million, for the six months ended June 30, 2026 and for the year ended December 31, 2025, respectively. Such non-cash costs are not included in the table below.</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estimate of costs that the Company expects to incur related to the workforce reduction and the timing thereof are subject to a number of assumptions and actual results may differ. The Company may also incur additional costs not currently contemplated due to events that may occur as a result of, or that are associated with, the actions described above.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activity as of June 30, 2026 and the remaining severance and termination-related liability included in Accrued expenses and other liabilities in the Consolidated Balance Sheet:</w:t>
      </w:r>
    </w:p>
    <w:tbl>
      <w:tblPr>
        <w:tblW w:w="5447" w:type="dxa"/>
        <w:jc w:val="center"/>
        <w:tblInd w:w="0" w:type="dxa"/>
        <w:tblLayout w:type="fixed"/>
        <w:tblCellMar>
          <w:top w:w="28" w:type="dxa"/>
          <w:left w:w="28" w:type="dxa"/>
          <w:bottom w:w="28" w:type="dxa"/>
          <w:right w:w="28" w:type="dxa"/>
        </w:tblCellMar>
      </w:tblPr>
      <w:tblGrid>
        <w:gridCol w:w="1469"/>
        <w:gridCol w:w="1295"/>
        <w:gridCol w:w="1300"/>
        <w:gridCol w:w="109"/>
        <w:gridCol w:w="109"/>
        <w:gridCol w:w="109"/>
        <w:gridCol w:w="211"/>
        <w:gridCol w:w="691"/>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termination-related costs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Severance and termination-related costs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1,492</w:t>
            </w:r>
            <w:r>
              <w:rPr>
                <w:color w:val="000000"/>
              </w:rPr>
              <w:t>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20. Related Party Transactions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Blackstone Agreements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In November 2021, the Company concurrently entered into the Blackstone Agreements. As of the execution of the Blackstone Agreements, Blackstone became a related party of the Company, as Blackstone became the owner of more than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rPr>
        <w:t xml:space="preserve">of the </w:t>
      </w:r>
      <w:r>
        <w:rPr>
          <w:rFonts w:ascii="Times New Roman;serif" w:hAnsi="Times New Roman;serif"/>
          <w:b w:val="false"/>
          <w:color w:val="000000"/>
          <w:sz w:val="20"/>
          <w:shd w:fill="FFFFFF" w:val="clear"/>
        </w:rPr>
        <w:t>Company’s</w:t>
      </w:r>
      <w:r>
        <w:rPr>
          <w:color w:val="000000"/>
        </w:rPr>
        <w:t xml:space="preserve"> </w:t>
      </w:r>
      <w:r>
        <w:rPr>
          <w:rFonts w:ascii="Times New Roman;serif" w:hAnsi="Times New Roman;serif"/>
          <w:b w:val="false"/>
          <w:color w:val="000000"/>
          <w:sz w:val="20"/>
        </w:rPr>
        <w:t>outstanding voting securities. In addition, Blackstone received and exercised its right to nominate one director to the board of directors of the Company and is therefore considered to be one of the principal owners of the Company. As of June 30, 2026, Blackstone holds more than 5% of the Company’s outstanding voting securities.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As of June 30, 2026, the carrying amount of the Blackstone Collaboration Agreement Liability was $240.9 million. For the six months ended June 30, 2026, the aggregated cumulative accrued interest expense and cumulative catch-up adjustment amounted to $6.9 million and the revenue share payments amounted to $2.7 million. As of December 31, 2025, the carrying amount of the Blackstone Collaboration Agreement Liability was $236.7 million which included aggregated cumulative </w:t>
      </w:r>
      <w:r>
        <w:rPr>
          <w:rFonts w:ascii="Times New Roman;serif" w:hAnsi="Times New Roman;serif"/>
          <w:b w:val="false"/>
          <w:color w:val="000000"/>
          <w:sz w:val="20"/>
          <w:shd w:fill="FFFFFF" w:val="clear"/>
        </w:rPr>
        <w:t>accrued interest expense and cumulative catch-up adjustment</w:t>
      </w:r>
      <w:r>
        <w:rPr>
          <w:color w:val="000000"/>
        </w:rPr>
        <w:t xml:space="preserve"> </w:t>
      </w:r>
      <w:r>
        <w:rPr>
          <w:rFonts w:ascii="Times New Roman;serif" w:hAnsi="Times New Roman;serif"/>
          <w:b w:val="false"/>
          <w:color w:val="000000"/>
          <w:sz w:val="20"/>
        </w:rPr>
        <w:t xml:space="preserve">of $27.9 million. Refer to </w:t>
      </w:r>
      <w:r>
        <w:rPr>
          <w:rFonts w:ascii="Times New Roman;serif" w:hAnsi="Times New Roman;serif"/>
          <w:b w:val="false"/>
          <w:color w:val="000000"/>
          <w:sz w:val="20"/>
          <w:shd w:fill="FFFFFF" w:val="clear"/>
        </w:rPr>
        <w:t xml:space="preserve">Note 15, </w:t>
      </w:r>
      <w:r>
        <w:rPr>
          <w:color w:val="000000"/>
        </w:rPr>
        <w:t>“</w:t>
      </w:r>
      <w:r>
        <w:rPr>
          <w:rFonts w:ascii="Times New Roman;serif" w:hAnsi="Times New Roman;serif"/>
          <w:b w:val="false"/>
          <w:color w:val="000000"/>
          <w:sz w:val="20"/>
          <w:shd w:fill="FFFFFF" w:val="clear"/>
        </w:rPr>
        <w:t>Liabilities related to future royalties and milestones, net</w:t>
      </w:r>
      <w:r>
        <w:rPr>
          <w:color w:val="000000"/>
        </w:rPr>
        <w:t>”</w:t>
      </w:r>
      <w:r>
        <w:rPr>
          <w:color w:val="000000"/>
          <w:shd w:fill="FFFFFF" w:val="clear"/>
        </w:rPr>
        <w:t xml:space="preserve"> </w:t>
      </w:r>
      <w:r>
        <w:rPr>
          <w:rFonts w:ascii="Times New Roman;serif" w:hAnsi="Times New Roman;serif"/>
          <w:b w:val="false"/>
          <w:color w:val="000000"/>
          <w:sz w:val="20"/>
          <w:shd w:fill="FFFFFF" w:val="clear"/>
        </w:rPr>
        <w:t>for further details.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BioNTech Agreements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In February 2024, the Company concurrently entered into the BioNTech Agreements. Upon the execution of the BioNTech Agreements, BioNTech became a related party of the Company. BioNTech owns more than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rPr>
        <w:t xml:space="preserve">of the </w:t>
      </w:r>
      <w:r>
        <w:rPr>
          <w:rFonts w:ascii="Times New Roman;serif" w:hAnsi="Times New Roman;serif"/>
          <w:b w:val="false"/>
          <w:color w:val="000000"/>
          <w:sz w:val="20"/>
          <w:shd w:fill="FFFFFF" w:val="clear"/>
        </w:rPr>
        <w:t>Company’s</w:t>
      </w:r>
      <w:r>
        <w:rPr>
          <w:color w:val="000000"/>
        </w:rPr>
        <w:t xml:space="preserve"> </w:t>
      </w:r>
      <w:r>
        <w:rPr>
          <w:rFonts w:ascii="Times New Roman;serif" w:hAnsi="Times New Roman;serif"/>
          <w:b w:val="false"/>
          <w:color w:val="000000"/>
          <w:sz w:val="20"/>
        </w:rPr>
        <w:t xml:space="preserve">outstanding voting securities and is therefore one of the principal owners of the Company. In addition, BioNTech has the right to nominate one director to the board of directors of the Company, which BioNTech has not yet exercised. </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As of June 30, 2026, the carrying amount of the BioNTech Liability was $43.4 million. </w:t>
      </w:r>
      <w:r>
        <w:rPr>
          <w:rFonts w:ascii="Times New Roman;serif" w:hAnsi="Times New Roman;serif"/>
          <w:b w:val="false"/>
          <w:color w:val="000000"/>
          <w:sz w:val="20"/>
          <w:shd w:fill="FFFFFF" w:val="clear"/>
        </w:rPr>
        <w:t xml:space="preserve">For the six months ended </w:t>
      </w:r>
      <w:r>
        <w:rPr>
          <w:rFonts w:ascii="Times New Roman;serif" w:hAnsi="Times New Roman;serif"/>
          <w:b w:val="false"/>
          <w:color w:val="000000"/>
          <w:sz w:val="20"/>
        </w:rPr>
        <w:t>June 30, 2026, the</w:t>
      </w:r>
      <w:r>
        <w:rPr>
          <w:color w:val="000000"/>
          <w:shd w:fill="FFFFFF" w:val="clear"/>
        </w:rPr>
        <w:t xml:space="preserve"> </w:t>
      </w:r>
      <w:r>
        <w:rPr>
          <w:rFonts w:ascii="Times New Roman;serif" w:hAnsi="Times New Roman;serif"/>
          <w:b w:val="false"/>
          <w:color w:val="000000"/>
          <w:sz w:val="20"/>
          <w:shd w:fill="FFFFFF" w:val="clear"/>
        </w:rPr>
        <w:t>aggregated</w:t>
      </w:r>
      <w:r>
        <w:rPr>
          <w:color w:val="000000"/>
        </w:rPr>
        <w:t xml:space="preserve"> </w:t>
      </w:r>
      <w:r>
        <w:rPr>
          <w:rFonts w:ascii="Times New Roman;serif" w:hAnsi="Times New Roman;serif"/>
          <w:b w:val="false"/>
          <w:color w:val="000000"/>
          <w:sz w:val="20"/>
        </w:rPr>
        <w:t xml:space="preserve">cumulative accrued interest expense and cumulative catch-up adjustment amounted to $1.4 million </w:t>
      </w:r>
      <w:r>
        <w:rPr>
          <w:rFonts w:ascii="Times New Roman;serif" w:hAnsi="Times New Roman;serif"/>
          <w:b w:val="false"/>
          <w:color w:val="000000"/>
          <w:sz w:val="20"/>
          <w:shd w:fill="FFFFFF" w:val="clear"/>
        </w:rPr>
        <w:t>and the revenue share payments amounted to $1.5 million</w:t>
      </w:r>
      <w:r>
        <w:rPr>
          <w:rFonts w:ascii="Times New Roman;serif" w:hAnsi="Times New Roman;serif"/>
          <w:b w:val="false"/>
          <w:color w:val="000000"/>
          <w:sz w:val="20"/>
        </w:rPr>
        <w:t xml:space="preserve">. As of December 31, 2025, the carrying amount of the BioNTech Liability was $43.5 million which included aggregated cumulative </w:t>
      </w:r>
      <w:r>
        <w:rPr>
          <w:rFonts w:ascii="Times New Roman;serif" w:hAnsi="Times New Roman;serif"/>
          <w:b w:val="false"/>
          <w:color w:val="000000"/>
          <w:sz w:val="20"/>
          <w:shd w:fill="FFFFFF" w:val="clear"/>
        </w:rPr>
        <w:t>accrued interest expense and cumulative catch-up adjustment</w:t>
      </w:r>
      <w:r>
        <w:rPr>
          <w:color w:val="000000"/>
        </w:rPr>
        <w:t xml:space="preserve"> </w:t>
      </w:r>
      <w:r>
        <w:rPr>
          <w:rFonts w:ascii="Times New Roman;serif" w:hAnsi="Times New Roman;serif"/>
          <w:b w:val="false"/>
          <w:color w:val="000000"/>
          <w:sz w:val="20"/>
        </w:rPr>
        <w:t xml:space="preserve">of $8.5 million. Refer to Note 15, “Liabilities related to future royalties and milestones, net”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360" w:after="283"/>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21. Subsequent Events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The Company evaluated subsequent events through August 11, 2026, the date on which these unaudited condensed consolidated financial statements were is</w:t>
      </w:r>
      <w:r>
        <w:rPr>
          <w:rFonts w:ascii="Times New Roman;serif" w:hAnsi="Times New Roman;serif"/>
          <w:b w:val="false"/>
          <w:color w:val="000000"/>
          <w:sz w:val="20"/>
          <w:shd w:fill="FFFFFF" w:val="clear"/>
        </w:rPr>
        <w:t xml:space="preserve">sued. </w:t>
      </w:r>
    </w:p>
    <w:p>
      <w:pPr>
        <w:pStyle w:val="TextBody"/>
        <w:bidi w:val="0"/>
        <w:spacing w:lineRule="auto" w:line="288" w:before="180" w:after="12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Perceptive Senior Secured Notes Facility and Warrants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30, 2026, the Company entered into a strategic financing with Perceptive Credit Holdings V, LP (“Perceptive” or “Perceptive Advisors”), a leading global healthcare specialist investor, for the sale of notes of up to $250 million in aggregate principal amount in a five-year, interest-only senior credit facility (the “Credit Facility”), subject to certain conditions. An initial $75 million principal amount of notes has been issued by Autolus to Perceptive on July 30, 2026, and an additional $25 million in aggregate principal amount will be available at Autolus’ option for up to six months post-closing. An additional $150 million in aggregate principal amount of subsequent capital may become available in separate tranches upon achievement of certain pre-specified revenue milestones.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Facility will bear interest at a rate per annum equal to the one month secured overnight financing rate (“SOFR”) (subject to a SOFR floor of 3.50%), plus 7.25%, and will be interest-only until maturity. Interest margin reductions may become available upon achievement of certain revenue milestones. At closing of the Credit Facility, the Company issued Perceptive a warrant to purchase up to 3.5 million American Depositary Receipts (ADSs), each ADS representing one ordinary share, at an exercise price of $1.9314 per ADS, equal to 125% of the 30-day VWAP immediately preceding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together with the unaudited condensed consolidated interim financial statements and the related notes to those statements included in this Quarterly Report on Form 10-Q. We also recommend that you read our discussion and analysis of financial condition and results of operations together with our audited financial statements and the notes thereto, which appear in our Annual Report on the Form 10-K for the year ended December 31, 2025 as filed with the Securities and Exchange Commission, or the SEC on March 27, 2026, or the Annual Report. </w:t>
      </w:r>
    </w:p>
    <w:p>
      <w:pPr>
        <w:pStyle w:val="TextBody"/>
        <w:bidi w:val="0"/>
        <w:spacing w:lineRule="auto" w:line="288" w:before="120" w:after="283"/>
        <w:jc w:val="both"/>
        <w:rPr/>
      </w:pPr>
      <w:r>
        <w:rPr>
          <w:rFonts w:ascii="Times New Roman;serif" w:hAnsi="Times New Roman;serif"/>
          <w:b w:val="false"/>
          <w:i/>
          <w:color w:val="000000"/>
          <w:sz w:val="20"/>
        </w:rPr>
        <w:t>We maintain our books and records in pounds sterling, our results are subsequently converted to U.S. dollars, and we prepare our consolidated financial statements in accordance with U.S. GAAP, as issued by the FASB. All references in this Quarterly Report on Form 10-Q to “$” are to U.S. dollars and all references to “£” are to pounds sterling. Our unaudited condensed consolidated statements of operations and comprehensive loss for the three months ended June 30, 2026 and 2025 have been translated from pounds sterling into U.S. dollars at the rate of £1.00 to $1.3414 and £1.00 to $1.3355,</w:t>
      </w:r>
      <w:r>
        <w:rPr>
          <w:color w:val="000000"/>
        </w:rPr>
        <w:t xml:space="preserve"> </w:t>
      </w:r>
      <w:r>
        <w:rPr>
          <w:rFonts w:ascii="Times New Roman;serif" w:hAnsi="Times New Roman;serif"/>
          <w:b w:val="false"/>
          <w:i/>
          <w:color w:val="000000"/>
          <w:sz w:val="20"/>
        </w:rPr>
        <w:t>respectively. Our unaudited condensed consolidated statements of operations and comprehensive loss and cash flows for the six months ended June 30, 2026 and 2025 have been translated from pounds sterling into U.S. dollars at the rate of £1.00 to $1.3445 and £1.00 to $1.2971, respectively. Our unaudited condensed consolidated balance sheet as of June 30, 2026 and audited consolidated balance sheet as of December 31, 2025 have been translated from pounds sterling into U.S. dollars at the rate of £1.00 to $1.3242 and £1.00 to $1.3455, respectively. These translations should not be considered representations that any such amounts have been, could have been or could be converted into U.S. dollars at those or any other exchange rate as of those or any other dates.</w:t>
      </w:r>
    </w:p>
    <w:p>
      <w:pPr>
        <w:pStyle w:val="TextBody"/>
        <w:bidi w:val="0"/>
        <w:spacing w:lineRule="auto" w:line="288" w:before="120" w:after="100"/>
        <w:jc w:val="both"/>
        <w:rPr>
          <w:rFonts w:ascii="Times New Roman;serif" w:hAnsi="Times New Roman;serif"/>
          <w:b w:val="false"/>
          <w:i/>
          <w:color w:val="000000"/>
          <w:sz w:val="20"/>
        </w:rPr>
      </w:pPr>
      <w:r>
        <w:rPr>
          <w:rFonts w:ascii="Times New Roman;serif" w:hAnsi="Times New Roman;serif"/>
          <w:b w:val="false"/>
          <w:i/>
          <w:color w:val="000000"/>
          <w:sz w:val="20"/>
        </w:rPr>
        <w:t>The statements in this discussion and analysis of our financial condition and results of operations regarding our expectations regarding our future performance, liquidity and capital resources and other non-historical statements are forward-looking statements.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These risks and uncertainties include, but are not limited to, the risks and uncertainties set forth in the “Risk Factors” section of our Annual Report, this Quarterly Report and any subsequent reports that we file with the SEC.</w:t>
      </w:r>
    </w:p>
    <w:p>
      <w:pPr>
        <w:pStyle w:val="TextBody"/>
        <w:bidi w:val="0"/>
        <w:spacing w:lineRule="auto" w:line="288" w:before="120" w:after="283"/>
        <w:jc w:val="both"/>
        <w:rPr/>
      </w:pPr>
      <w:r>
        <w:rPr>
          <w:rFonts w:ascii="Times New Roman;serif" w:hAnsi="Times New Roman;serif"/>
          <w:b w:val="false"/>
          <w:i/>
          <w:color w:val="000000"/>
          <w:sz w:val="20"/>
        </w:rPr>
        <w:t xml:space="preserve">Autolus, AUCATZYL and our other trademarks or service marks appearing in this report are our property. Solely for convenience, the trademarks and trade names in this report are referred to without the </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 xml:space="preserve">and </w:t>
      </w:r>
      <w:r>
        <w:rPr>
          <w:rFonts w:ascii="Times New Roman;serif" w:hAnsi="Times New Roman;serif"/>
          <w:b w:val="false"/>
          <w:i/>
          <w:color w:val="000000"/>
          <w:sz w:val="13"/>
        </w:rPr>
        <w:t>TM</w:t>
      </w:r>
      <w:r>
        <w:rPr>
          <w:color w:val="000000"/>
        </w:rPr>
        <w:t xml:space="preserve"> </w:t>
      </w:r>
      <w:r>
        <w:rPr>
          <w:rFonts w:ascii="Times New Roman;serif" w:hAnsi="Times New Roman;serif"/>
          <w:b w:val="false"/>
          <w:i/>
          <w:color w:val="000000"/>
          <w:sz w:val="20"/>
        </w:rPr>
        <w:t>symbols, but such references should not be construed as any indicator that their respective owners will not assert, to the fullest extent under applicable law, their rights thereto. Products or service names of other companies mentioned in this report may be trademarks, trade names or service marks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We are a commercial-stage biopharmaceutical company developing next-generation programmed T cell therapies for the treatment of cancer and autoimmune diseases. Using our broad suite of proprietary and modular T cell programming technologies, we are engineering precisely targeted, controlled and highly active T cell therapies that are designed to better recognize target cells, break down their defense mechanisms and attack and kill these cells. We believe our programmed T cell therapies have the potential to be best-in-class and to offer patients substantial benefits over the existing standard of care, including the potential for cure in some patients.</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incurred significant operating losses. For the three months ended June 30, 2026 and 2025, we incurred net losses of $39.1 million and $47.9 million, respectively, and had an accumulated deficit of $1,497.5 million and $1,386.8 million as of June 30, 2026 and December 31, 2025, respectively.</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$171.4 million and marketable securities of $30.2 million. Based on our current clinical development and commercialization plans, we believe our existing cash, cash equivalents and marketable securities, together with the $75.0 million received from its Notes Purchase Agreement with Perceptive Advisors, “Perceptive”, will be sufficient to fund our current and planned operating expenses and capital expenditure requirements through at least the next twelve months from the date of issuance of our unaudited condensed consolidated financial statements included in this Quarterly Report. This forecast of cash resources is forward-looking information that involves risks and uncertainties, and the actual amount of our revenues and expenses, which we have based on assumptions that may prove to be wrong and could prove to be significantly higher than we currently anticipate, could vary materially and adversely as a result of a number of factors. Management does not know whether additional financing will be on terms favorable or acceptable to us when needed, if at all. If adequate additional funds are not available when required, or if we are unsuccessful in entering into partnership agreements for further development of our product candidates, management may need to curtail its development efforts and planned operations.</w:t>
      </w:r>
    </w:p>
    <w:p>
      <w:pPr>
        <w:pStyle w:val="TextBody"/>
        <w:bidi w:val="0"/>
        <w:spacing w:before="120" w:after="283"/>
        <w:ind w:left="0" w:right="0" w:firstLine="630"/>
        <w:jc w:val="both"/>
        <w:rPr/>
      </w:pPr>
      <w:r>
        <w:rPr/>
      </w:r>
    </w:p>
    <w:p>
      <w:pPr>
        <w:pStyle w:val="TextBody"/>
        <w:bidi w:val="0"/>
        <w:spacing w:before="120" w:after="283"/>
        <w:ind w:left="0" w:right="0" w:firstLine="720"/>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Recent Developments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AUCATZYL launch: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reported net product revenue of $45.7 million for three months ended June 30, 2026, compared to $20.9 million for the same period the prior year and compared to $26.2 million for three months ending March 31, 2026. Net revenues were primarily driven by increasing product demand both within existing treatment centers and expansion into new centers, supplemented by contribution from UK sales in the second quarter of launch in this market.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Additional data from the FELIX trial focusing on the impact of tumor burden and bridging therapy on safety and efficacy in adult r/r ALL patients treated with obe-cel were presented at the American Society of Clinical Oncology (“ASCO”) and European Hematology Association (“EHA”) annual meetings.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Obe-cel clinical updates: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Obe-cel data in pediatric r/r B-ALL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Phase 2 portion of the ongoing CATULUS trial of obe-cel in pediatric relapsed or refractory (r/r) B-cell precursor ALL (“B-ALL”) patients is on track and data is expected to be reported at the end of 2027.</w:t>
      </w:r>
    </w:p>
    <w:p>
      <w:pPr>
        <w:pStyle w:val="TextBody"/>
        <w:bidi w:val="0"/>
        <w:spacing w:lineRule="auto" w:line="288" w:before="180" w:after="283"/>
        <w:jc w:val="both"/>
        <w:rPr/>
      </w:pPr>
      <w:r>
        <w:rPr>
          <w:rFonts w:ascii="Times New Roman;serif" w:hAnsi="Times New Roman;serif"/>
          <w:b w:val="false"/>
          <w:i/>
          <w:color w:val="000000"/>
          <w:sz w:val="20"/>
        </w:rPr>
        <w:t>Obe-cel in lupus nephritis (</w:t>
      </w:r>
      <w:r>
        <w:rPr>
          <w:color w:val="000000"/>
        </w:rPr>
        <w:t>“</w:t>
      </w:r>
      <w:r>
        <w:rPr>
          <w:rFonts w:ascii="Times New Roman;serif" w:hAnsi="Times New Roman;serif"/>
          <w:b w:val="false"/>
          <w:i/>
          <w:color w:val="000000"/>
          <w:sz w:val="20"/>
        </w:rPr>
        <w:t>LN</w:t>
      </w:r>
      <w:r>
        <w:rPr>
          <w:color w:val="000000"/>
        </w:rPr>
        <w:t>”</w:t>
      </w:r>
      <w:r>
        <w:rPr>
          <w:rFonts w:ascii="Times New Roman;serif" w:hAnsi="Times New Roman;serif"/>
          <w:b w:val="false"/>
          <w:i/>
          <w:color w:val="000000"/>
          <w:sz w:val="20"/>
        </w:rPr>
        <w:t>)</w:t>
      </w:r>
      <w:r>
        <w:rPr>
          <w:color w:val="000000"/>
        </w:rPr>
        <w:t xml:space="preserv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next data update from the Phase 1 CARLYSLE trial in patients with severe refractory systemic lupus erythematosus (“SLE”) has been submitted for presentation at the American College of Rheumatology (“ACR”) Annual Meeting in the fourth quarter of 2026. LUMINA, the pivotal Phase 2 study of obe-cel in patients with refractory LN continues enrolling in five countries and we expect to report data in 2028.</w:t>
      </w:r>
    </w:p>
    <w:p>
      <w:pPr>
        <w:pStyle w:val="TextBody"/>
        <w:bidi w:val="0"/>
        <w:spacing w:lineRule="auto" w:line="288" w:before="180" w:after="283"/>
        <w:jc w:val="both"/>
        <w:rPr/>
      </w:pPr>
      <w:r>
        <w:rPr>
          <w:rFonts w:ascii="Times New Roman;serif" w:hAnsi="Times New Roman;serif"/>
          <w:b w:val="false"/>
          <w:i/>
          <w:color w:val="000000"/>
          <w:sz w:val="20"/>
        </w:rPr>
        <w:t>Obe-cel in progressive multiple sclerosis (</w:t>
      </w:r>
      <w:r>
        <w:rPr>
          <w:color w:val="000000"/>
        </w:rPr>
        <w:t>“</w:t>
      </w:r>
      <w:r>
        <w:rPr>
          <w:rFonts w:ascii="Times New Roman;serif" w:hAnsi="Times New Roman;serif"/>
          <w:b w:val="false"/>
          <w:i/>
          <w:color w:val="000000"/>
          <w:sz w:val="20"/>
        </w:rPr>
        <w:t>MS</w:t>
      </w:r>
      <w:r>
        <w:rPr>
          <w:color w:val="000000"/>
        </w:rPr>
        <w:t>”</w:t>
      </w:r>
      <w:r>
        <w:rPr>
          <w:rFonts w:ascii="Times New Roman;serif" w:hAnsi="Times New Roman;serif"/>
          <w:b w:val="false"/>
          <w:color w:val="000000"/>
          <w:sz w:val="20"/>
        </w:rPr>
        <w: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Phase 1 BOBCAT trial is expected to include up to 18 adult patients and will determine the safety, tolerability, and preliminary efficacy of obe-cel in participants with refractory progressive forms of MS.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first preliminary results, including safety, PK/PD and biomarker data are planned to be presented at at the ACTRIMS Forum in the first quarter of 2027. A larger data set with longer follow up will be reported in the second half of 2027.</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AUTO8 in Light-Chain Amyloidosis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Phase 1 ALARIC trial evaluating AUTO8 in light-chain amyloidosis is ongoing and initial data are expected to be reported at the end of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Q2 2026 operational updates: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April 2026, we announced a strategic initiative and plan to improve operational efficiency and reduce operating expenses. As part of this initiative, we implemented a reduction in force affecting approximately 13% of its existing overall workforce, impacting all areas of the business. The actions are expected to reduce operating expenses by approximately $15 million on an annualized basis beginning in 2027. As a result of the reorganization, which includes employee-related actions taken beginning in the second half of 2025, we expect to incur total restructuring charges of approximately $8 million, consisting primarily of employee severance and related costs, the majority of which have been recognized in the first half of 2026. The implementation of the workforce reduction plan is now substantially complete.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Post Q2 2026 events: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 July 30, 2026, we entered into a strategic financing with Perceptive for the sale of notes of up to $250 million in aggregate principal amount in a five-year, interest-only senior credit facility (the “Credit Facility”), subject to certain conditions. An initial $75 million principal amount of notes has been issued by us to Perceptive on July 30, 2026, and an additional $25 million in aggregate principal amount will be available at our option for up to six months post-closing. An additional $150 million in aggregate principal amount of subsequent capital may become available in separate tranches upon achievement of certain pre-specified revenue milestones. The Credit Facility will bear interest at a rate per annum equal to the one month secured overnight financing rate (“SOFR”) (subject to a SOFR floor of 3.50%), plus 7.25%, and will be interest-only until maturity. Interest margin reductions may become available upon achievement of certain revenue milestones. At closing of the Credit Facility, we issued Perceptive a warrant to purchase up to 3.5 million ADSs, each ADS representing one ordinary share, at an exercise price of $1.9314 per ADS, equal to 125% of the 30-day VWAP immediately preceding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three-month and six-month period ended June 30, 2025, our product revenue, net was solely comprised of sales of AUCATZYL in the U.S. We use Cardinal Health as an agent to deliver our product, AUCATZYL, to ATCs. The ATCs are responsible for the treatment of the patient including infusion of the product which occurs in two separate doses. Cardinal Health is obligated to pay us for the product upon the delivery and acceptance of the product at the ATC within standard payment terms. The ATC is obligated to pay Cardinal Health for the product upon receipt and acceptance of the product and is entitled to a credit in certain circumstances, including when the patient is not administered one or both doses.</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launched AUCATZYL in the U.K. in January 2026. Consequently, our product revenue, net now includes sales of AUCATZYL in the U.S. and U.K.. AUCATZYL is available through the National Health Service (“NHS”) and private treatment centers.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European Commission granted marketing authorization for AUCATZYL in adult patients (age 26 and older) with r/r B-ALL. Evaluation of potential pricing and the feasibility of market entry opportunities in certain EU countries is ongoing; consequently, the commercial launch in Germany is currently on hold. We did not generate any EU product revenue from AUCATZYL in 2025 and do not anticipate any EU product revenue in 2026.</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determined that the patient is the customer pursuant to ASC 606 in the arrangement. We have identified a single performance obligation which is satisfied when the patient has received its final dose of the product. We record an accounts receivable on the balance sheet when product sales are invoiced and the final dose of the product has been administered to the patient. </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revenue, net of gross-to-net deductions, is recognized only to the extent that a significant reversal in the amount of cumulative revenue recognized is not probable of occurring when the uncertainty associated with gross-to-net deductions is subsequently resolved. Product revenue is recognized net of estimated rebates and chargebacks, patient travel assistance and patient co-pay assistance deductions. These deductions to product revenue are referred to as gross-to-net deductions and are estimated and recorded in the period in which the related product revenue occurs. Refer to Note 2, “Summary of Significant Accounting Policies,” for further details on our product revenue, net accounting policy.</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Cost of Sales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represents production costs including raw materials, employee-related expenses, including salaries, related benefits, travel and share-based compensation expense for employees engaged in commercial manufacturing functions, external manufacturing costs including outsourced professional expenses services, allocated facilities costs, depreciation and other expenses, royalties payable to third-parties and other costs incurred in bringing inventories to their location and condition prior to sale. Cost of sales also includes the cost of all commercial product which is recognized as cost of goods sold upon final administration to the patient, any cancelled orders, and product related to the patient access program. Cost of sales may also include costs related to excess or obsolete inventory adjustment charges and amortization expense of intangible assets.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sales for a newly launched product does not include the full cost of manufacturing until the initial pre-launch raw materials inventory is depleted. Thus, the cost of sales as a percentage of net sales of AUCATZYL for the three and six months ended June 30, 2026 was affected by use of the initial pre-launch raw materials inventory, which was previously expensed as research and development expense, and is referred to as zero cost inventories. We estimate cost of sales as a percentage of net product revenue and will continue to be positively impacted as we sell products which includes some raw material inventory that was previously expensed prior to the FDA approval.</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Research and Development Expenses,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net (“R&amp;D”) consist of costs incurred in connection with the research and development of our product candidates, which are partially offset by research and development tax credits, including tax credits arising from the U.K. small and medium enterprise (“SME”) regime and research and development expenditure credit (“RDEC”) regime provided by His Majesty's Revenue and Customs (“HMRC”). We expense research and development costs as incurred. These expenses include:</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expenses incurred under agreements with CROs, as well as investigative sites and consultants that conduct our clinical trials, preclinical studies and other scientific development services;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manufacturing scale-up expenses and the cost of acquiring and manufacturing preclinical and clinical trial materials;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employee-related expenses, including salaries, related benefits, travel and share-based compensation expense for employees engaged in research and development functions;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expenses incurred for outsourced professional scientific development services;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costs for laboratory materials and supplies used to support our research activities;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allocated facilities costs, depreciation and other expenses, which include rent and utilities;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upfront, milestone and management fees for maintaining licenses under our third-party licensing agreements.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recognize external development costs based on an evaluation of the progress to completion of specific tasks using information provided to us by our service providers.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direct research and development expenses are tracked on a program-by-program basis for our product candidates and consist primarily of external costs, such as fees paid to outside consultants and CROs in connection with our preclinical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research and development as well as for managing our preclinical development, process development, manufacturing and clinical development activities.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few years as we initiate and conduct additional clinical trials and prepare regulatory filings related to our product candidates. We also expect to incur additional expenses related to milestone, royalty payments and maintenance fees payable to third parties with whom we have entered into license agreements to acquire the rights related to our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successful development and commercialization of our product candidates is highly uncertain. At this time, we cannot reasonably estimate or know the nature, timing and costs of the efforts that will be necessary to complete the clinical development of any of our product candidates or when, if ever, material net cash inflows may commence from sales of any of our product candidates. This uncertainty is due to the numerous risks and uncertainties associated with development and commercialization activities, including the uncertainty of:</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scope, progress, outcome and costs of our clinical trials and other research and development activities, including establishing an appropriate safety profile with IND-directed studies;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successful patient enrollment in, and the initiation and completion of, clinical trials;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timing, receipt and terms of any marketing approvals from applicable regulatory authorities;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establishing commercial manufacturing capabilities or making arrangements with third-party manufacturers;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development and timely delivery of commercial-grade drug formulations that can be used in our clinical trials and for commercial manufacturing;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obtaining, maintaining, defending and enforcing patent claims and other intellectual property rights;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significant and changing government regulation;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launching commercial sales of our product candidates, if and when approved, whether alone or in collaboration with others;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maintaining a continued acceptable safety profile of the product candidates following approval;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significant competition and rapidly changing technologies within the biopharmaceutical industry. </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120" w:after="283"/>
        <w:ind w:left="0" w:right="0" w:firstLine="720"/>
        <w:jc w:val="both"/>
        <w:rPr/>
      </w:pPr>
      <w:r>
        <w:rPr/>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We may never succeed in achieving regulatory approval for any of our product candidates other than AUCATZYL. We may obtain unexpected results from our clinical trials. We may elect to discontinue, delay or modify clinical trials of some product candidates or focus on others. Any changes in the outcome of any of these variables with respect to the development of our product candidates in clinical development could mean a significant change in the costs and timing associated with the development of these product candidates. </w:t>
      </w:r>
      <w:r>
        <w:rPr>
          <w:rFonts w:ascii="Times New Roman;serif" w:hAnsi="Times New Roman;serif"/>
          <w:b w:val="false"/>
          <w:color w:val="000000"/>
          <w:sz w:val="20"/>
        </w:rPr>
        <w:t>For example, if the European Medicines Agency (“EMA”), the FDA,</w:t>
      </w:r>
      <w:r>
        <w:rPr>
          <w:color w:val="000000"/>
          <w:shd w:fill="FFFFFF" w:val="clear"/>
        </w:rPr>
        <w:t xml:space="preserve"> </w:t>
      </w:r>
      <w:r>
        <w:rPr>
          <w:rFonts w:ascii="Times New Roman;serif" w:hAnsi="Times New Roman;serif"/>
          <w:b w:val="false"/>
          <w:color w:val="000000"/>
          <w:sz w:val="20"/>
          <w:shd w:fill="FFFFFF" w:val="clear"/>
        </w:rPr>
        <w:t>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Commercialization of our product candidates will take several years and millions of dollars in development costs.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U.K. Research and Development Tax Credits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expenditure is presented net of reimbursements from reimbursable tax and expenditure credits from the United Kingdom government. As a company that carries out extensive research and development activities, we benefit from the Research and Development tax incentives provided by United Kingdom tax legislation. The specific tax incentives available for us to claim vary year to year and are dependent on the criteria met.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benefits from United Kingdom research and development tax credits are recognized in the statements of operations and comprehensive loss as a reduction of research and development expenses and represents the sum of the research and development tax credits recoverable in the United Kingdom.</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SME program has been particularly beneficial to us as under such program the tax losses that arise from our qualifying R&amp;D activities can be surrendered for a cash rebate of up to 33.35% of qualifying expenditure incurred prior to April 1, 2023 and decreased to 18.6% after April 1, 2023. The United Kingdom government enacted changes to the SME regime effective from April 1, 2023 which included the introduction of a new rate for R&amp;D intensive companies of 27%. Qualifying expenditures largely comprise of employment costs for research staff, consumables, outsourced contract research organization costs and utilities costs incurred as part of research projects for which we do not receive income. A large proportion of costs relate to our pipeline research, clinical trials management and manufacturing development activities, all of which are being carried out by our subsidiary Autolus Limited, are eligible for inclusion within these tax credit cash rebate claims.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RDEC program, the headline rate for qualifying R&amp;D expenditure is 20% and can generate cash rebates of up to 15% on qualifying R&amp;D expenditure.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Amendments to the current SME and RDEC programs contained in the Finance Act 2024 (unless limited exceptions apply) introduce (i) restrictions on the tax relief that can be claimed for expenditure incurred on sub-contracted R&amp;D activities or externally provided workers, where such activities are not carried out in the United Kingdom or such workers are not subject to United Kingdom payroll taxes, and (ii) merge the SME and RDEC programs into a single scheme which would generate net cash benefit of up to 15% of the qualifying expenditure for profit making companies and up to 16.2% for loss making companies. These changes apply to periods commencing after April 1, 2024.</w:t>
      </w:r>
    </w:p>
    <w:p>
      <w:pPr>
        <w:pStyle w:val="TextBody"/>
        <w:bidi w:val="0"/>
        <w:spacing w:lineRule="auto" w:line="26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Selling, General and Administrative Expenses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Selling, general and administrative expenses consist primarily of salaries, related benefits, travel and share-based compensation expense for personnel in executive, finance, legal and other administrative functions. Selling, general and administrative expenses also include allocated facility-related costs, patent filing and prosecution costs and professional fees for marketing, insurance, legal, consulting, accounting, termination benefits and related charges, audit services, gains and losses on disposal of property and equipment and impairment of operating lease right of use assets and related property and equipment. </w:t>
      </w:r>
      <w:r>
        <w:rPr>
          <w:rFonts w:ascii="Times New Roman;serif" w:hAnsi="Times New Roman;serif"/>
          <w:b w:val="false"/>
          <w:color w:val="000000"/>
          <w:sz w:val="20"/>
        </w:rPr>
        <w:t>Included in selling, general and administrative expenses is historical irrecoverable input VAT previously claimed on selling, general and administrative expenses and subsequently reversed.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anticipate that our selling, general and administrative expenses will increase in the future as we maintain the headcount necessary to support the commercialization of AUCATZYL and the planned development of our product candidates. We anticipate an increase in salaries and related benefits as a result of our commercial operations, especially as they relate to the sales and marketing of AUCATZYL and our other product candidates. In addition, we anticipate an increase in termination benefits and related charges arising from the reduction in force approved and announced in April 2026, with a significant portion of these termination benefits and related charges expected to be recognized in the first half of 2026.</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experienced, and expect to continue to experience, increased expense with being a public company, including increased accounting, audit, legal, regulatory and compliance costs associated with maintaining compliance with Nasdaq listing rules and the SEC requirements, director and officer insurance premiums, as well as higher investor and public relations costs. Additionally, should we fail to maintain our status as a foreign private issuer, we would expect to incur increased expenses to remain compliant with the applicable SEC and Nasdaq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240" w:after="283"/>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63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income, net consists primarily of sublease income.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Exchange Gains (Losses), Net</w:t>
      </w:r>
    </w:p>
    <w:p>
      <w:pPr>
        <w:pStyle w:val="TextBody"/>
        <w:bidi w:val="0"/>
        <w:spacing w:lineRule="auto" w:line="288" w:before="120" w:after="283"/>
        <w:ind w:left="0" w:right="0" w:firstLine="63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Foreign exchange (losses) gains, net consist of foreign currency transaction gains and losses arising from transactions denominated in foreign currencies.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Income</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income primarily relates to interest on cash, cash equivalents and available-for-sale debt securities and is presented net of amortization or accretion of the premium or discount on purchase and sales of the debt securities.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Expense, Net</w:t>
      </w:r>
    </w:p>
    <w:p>
      <w:pPr>
        <w:pStyle w:val="TextBody"/>
        <w:bidi w:val="0"/>
        <w:spacing w:lineRule="auto" w:line="288" w:before="1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expense, net consists primarily of interest expense arising from amortization of the liabilities related to future royalties and milestones, pursuant to our collaboration agreements with BXLS V - Autobahn L.P, (“Blackstone”) and BioNTech SE (“BioNTech”), using the effective interest rate method. On a quarterly basis, we assess the expected present value of the future Blackstone and BioNTech payments under the Blackstone Collaboration Agreement and BioNTech Agreements which may be received by us and future royalties and sales milestone payments to Blackstone and BioNTech which may be paid by us. To the extent the amount or timing of such receipts or payments is materially different than our previous estimates we record a cumulative catch-up adjustment to the liabilities related to future royalties and milestones. Adjustments to increase or decrease the carrying amount are recognized as an adjustment to interest expense, net in the period in which the change in estimate occurred.</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 Expense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corporate taxation in the United Kingdom, United States, Germany and Switzerland. Due to the nature of our business, we have generated losses since inception. Our income tax (expense) benefit recognized represents the sum of income tax payable or receivable in the United Kingdom, in the United States, in Germany and in Switzerland. </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Un-surrendered U.K. losses may be carried forward indefinitely to be offset against future taxable profits, subject to numerous utilization criteria and restrictions. The amount that can be offset each year is limited to £5.0 million plus an incremental 50% of United Kingdom taxable profits. After accounting for tax credits receivable, we had accumulated tax losses for carry forward in the United Kingdom of $953.6 million at December 31, 2025. No deferred tax assets are recognized on our U.K. losses and tax credit carryforwards because there is currently no indication that we will make sufficient taxable profits to utilize these tax losses and tax credit carryforwards. We carry a $2.8 million deferred tax asset balance related to the U.S. entity at June 30, 2026 for which a valuation allowance of $2.4 million was applied. We have recorded a valuation allowance against the net deferred tax asset where the recoverability due to future taxable profits is unknown. On April 1, 2023 the main rate of the U.K. corporation tax was increased to 25% for companies with profits in excess of £250,000, or the small profits rate of 19% for companies with profits of £50,000 or less (with marginal relief from the main rate available to companies with profits between £50,000 and £250,000).</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we generate profits in the future, we may benefit from the U.K. “patent box” regime that allows profits attributable to revenues from patents or patented products to be taxed at an effective rate of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Three Months Ended June 30, 2026 and 2025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2026, and 2025 (in thousands):</w:t>
      </w:r>
    </w:p>
    <w:tbl>
      <w:tblPr>
        <w:tblW w:w="9692" w:type="dxa"/>
        <w:jc w:val="left"/>
        <w:tblInd w:w="0" w:type="dxa"/>
        <w:tblLayout w:type="fixed"/>
        <w:tblCellMar>
          <w:top w:w="28" w:type="dxa"/>
          <w:left w:w="28" w:type="dxa"/>
          <w:bottom w:w="28" w:type="dxa"/>
          <w:right w:w="28" w:type="dxa"/>
        </w:tblCellMar>
      </w:tblPr>
      <w:tblGrid>
        <w:gridCol w:w="1349"/>
        <w:gridCol w:w="1191"/>
        <w:gridCol w:w="1195"/>
        <w:gridCol w:w="216"/>
        <w:gridCol w:w="816"/>
        <w:gridCol w:w="111"/>
        <w:gridCol w:w="111"/>
        <w:gridCol w:w="111"/>
        <w:gridCol w:w="111"/>
        <w:gridCol w:w="216"/>
        <w:gridCol w:w="816"/>
        <w:gridCol w:w="111"/>
        <w:gridCol w:w="109"/>
        <w:gridCol w:w="109"/>
        <w:gridCol w:w="109"/>
        <w:gridCol w:w="258"/>
        <w:gridCol w:w="883"/>
        <w:gridCol w:w="133"/>
        <w:gridCol w:w="109"/>
        <w:gridCol w:w="109"/>
        <w:gridCol w:w="109"/>
        <w:gridCol w:w="270"/>
        <w:gridCol w:w="270"/>
        <w:gridCol w:w="870"/>
      </w:tblGrid>
      <w:tr>
        <w:trPr/>
        <w:tc>
          <w:tcPr>
            <w:tcW w:w="134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percentage)</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 net</w:t>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45,689</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20,923</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24,766</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w:t>
            </w:r>
            <w:r>
              <w:rPr>
                <w:color w:val="000000"/>
              </w:rPr>
              <w:t> </w:t>
            </w:r>
          </w:p>
        </w:tc>
        <w:tc>
          <w:tcPr>
            <w:tcW w:w="8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and operating expenses:</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net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(43,838)</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(61,217)</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17,379</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net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net</w:t>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5,192</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13,697</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(8,505)</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w:t>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(38,646)</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(47,520)</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8,874</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8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(39,111)</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(47,917)</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8,806</w:t>
            </w:r>
            <w:r>
              <w:rPr>
                <w:color w:val="000000"/>
              </w:rPr>
              <w:t>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8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began recognizing product revenue, net arising from the commercial sales of AUCATZYL in the United States and United Kingdom in January 2025 and January 2026, respectively. Product revenue, net increased by $24.7 million to $45.7 million for the three months ended June 30, 2026 from $20.9 million for the three months ended June 30, 2025. The increase is primarily due to an increase in the number of AUCATZYL doses administered to patients in the territories where we commercialize AUCATZYL.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decreased by $4.0 million to $20.4 million for the three months ended June 30, 2026 from $24.4 million for the three months ended June 30, 2025. The decrease was primarily attributable to the benefits of the ongoing operational efficiency initiatives announced in April 2026, improved utilization of manufacturing capacity, and lower inventory write-downs, partially offset by higher product volumes and the associated increase in third-party royalties. Cost of sales for the three months ended June 30, 2025 included inventory write-downs of $2.5 million and third-party royalties of $0.6 million. Cost of sales for the three months ended June 30, 2026 included inventory write-downs of $1.2 million and third-party royalties of $1.6 million. </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sales as a percentage of revenue decreased from 117% to 45% from the three months ended June 30, 2025 to June 30, 2026. The decrease is primarily the result of higher product volumes and operational changes at the Nucleus facility in the three months ended June 30, 2026 resulting in a lower cost per batch manufactured, including the benefits of the ongoing operational efficiency initiatives announced in April 2026.</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manufacturing expenses incurred prior to AUCATZYL receiving the FDA approval were classified as research and development expenses, resulting in zero cost inventory. If cost of sales included previously expensed inventories, the total cost of sales with these manufacturing costs included would have increased by approximately $0.4 million and $1.9 million for the three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240" w:after="283"/>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Research and Development Expenses,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additional detail on our research and development expenses, net (in thousands):</w:t>
      </w:r>
    </w:p>
    <w:tbl>
      <w:tblPr>
        <w:tblW w:w="10205" w:type="dxa"/>
        <w:jc w:val="left"/>
        <w:tblInd w:w="0" w:type="dxa"/>
        <w:tblLayout w:type="fixed"/>
        <w:tblCellMar>
          <w:top w:w="28" w:type="dxa"/>
          <w:left w:w="28" w:type="dxa"/>
          <w:bottom w:w="28" w:type="dxa"/>
          <w:right w:w="28" w:type="dxa"/>
        </w:tblCellMar>
      </w:tblPr>
      <w:tblGrid>
        <w:gridCol w:w="1628"/>
        <w:gridCol w:w="1415"/>
        <w:gridCol w:w="1423"/>
        <w:gridCol w:w="222"/>
        <w:gridCol w:w="776"/>
        <w:gridCol w:w="114"/>
        <w:gridCol w:w="114"/>
        <w:gridCol w:w="114"/>
        <w:gridCol w:w="114"/>
        <w:gridCol w:w="222"/>
        <w:gridCol w:w="776"/>
        <w:gridCol w:w="114"/>
        <w:gridCol w:w="109"/>
        <w:gridCol w:w="109"/>
        <w:gridCol w:w="109"/>
        <w:gridCol w:w="250"/>
        <w:gridCol w:w="803"/>
        <w:gridCol w:w="129"/>
        <w:gridCol w:w="109"/>
        <w:gridCol w:w="109"/>
        <w:gridCol w:w="109"/>
        <w:gridCol w:w="267"/>
        <w:gridCol w:w="253"/>
        <w:gridCol w:w="817"/>
      </w:tblGrid>
      <w:tr>
        <w:trPr/>
        <w:tc>
          <w:tcPr>
            <w:tcW w:w="162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tcMar>
              <w:top w:w="0" w:type="dxa"/>
              <w:left w:w="0" w:type="dxa"/>
              <w:bottom w:w="0" w:type="dxa"/>
              <w:right w:w="0" w:type="dxa"/>
            </w:tcMar>
            <w:vAlign w:val="center"/>
          </w:tcPr>
          <w:p>
            <w:pPr>
              <w:pStyle w:val="TableContents"/>
              <w:bidi w:val="0"/>
              <w:spacing w:before="0" w:after="40"/>
              <w:jc w:val="left"/>
              <w:rPr/>
            </w:pPr>
            <w:r>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percentage)</w:t>
            </w:r>
          </w:p>
        </w:tc>
      </w:tr>
      <w:tr>
        <w:trPr/>
        <w:tc>
          <w:tcPr>
            <w:tcW w:w="4466" w:type="dxa"/>
            <w:gridSpan w:val="3"/>
            <w:tcBorders/>
            <w:tcMar>
              <w:top w:w="0" w:type="dxa"/>
              <w:left w:w="0" w:type="dxa"/>
              <w:bottom w:w="0" w:type="dxa"/>
              <w:right w:w="0" w:type="dxa"/>
            </w:tcMar>
            <w:vAlign w:val="center"/>
          </w:tcPr>
          <w:p>
            <w:pPr>
              <w:pStyle w:val="TableContents"/>
              <w:bidi w:val="0"/>
              <w:spacing w:before="0" w:after="40"/>
              <w:jc w:val="left"/>
              <w:rPr/>
            </w:pPr>
            <w:r>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Direct research and development expenses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 cell malignancies (Obe-cel)</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projects (AUTO4, AUTO5, AUTO6, AUTO7 &amp; AUTO8)</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direct research and development expense</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4,443</w:t>
            </w: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7,381</w:t>
            </w: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(2,938)</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Indirect research and development expenses and unallocated costs: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Personnel related (including share-based compensation)</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research and development expenses, net</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27,898</w:t>
            </w: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40"/>
              <w:jc w:val="right"/>
              <w:rPr/>
            </w:pPr>
            <w:r>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27,430</w:t>
            </w: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right"/>
              <w:rPr/>
            </w:pPr>
            <w:r>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468</w:t>
            </w:r>
            <w:r>
              <w:rPr>
                <w:color w:val="000000"/>
              </w:rPr>
              <w:t>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8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Indirect research and development expense is net of United Kingdom research and development tax credits</w:t>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net increased by $0.5 million to $27.9 million for the three months ended June 30, 2026 from $27.4 million for the three months ended June 30, 2025 primarily due to:</w:t>
      </w:r>
    </w:p>
    <w:p>
      <w:pPr>
        <w:pStyle w:val="TextBody"/>
        <w:bidi w:val="0"/>
        <w:spacing w:lineRule="auto" w:line="288" w:before="120" w:after="283"/>
        <w:jc w:val="both"/>
        <w:rPr/>
      </w:pPr>
      <w:r>
        <w:rPr>
          <w:color w:val="000000"/>
        </w:rPr>
        <w:t>•</w:t>
      </w:r>
      <w:r>
        <w:rPr>
          <w:rFonts w:ascii="Times New Roman;serif" w:hAnsi="Times New Roman;serif"/>
          <w:b w:val="false"/>
          <w:color w:val="000000"/>
          <w:sz w:val="20"/>
        </w:rPr>
        <w:t xml:space="preserve">a decrease of $2.6 million in United Kingdom R&amp;D tax credits (resulting in an increase in R&amp;D expense) due to no longer being eligible for the SME scheme and moving to the merged RDEC from January 1, 2025, as well as lower qualifying spend; offset by: </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an increase of $1.5 million in clinical trial costs, clinical manufacturing supply costs and related support costs; offset by</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 decrease of $3.6 million in salaries and other employment related costs including share-based compensation expense relating to research and development activities,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by $10.9 million to $41.2 million for the three months ended June 30, 2026 from $30.3 million for the three months ended June 30, 2025 primarily due to: </w:t>
      </w:r>
    </w:p>
    <w:p>
      <w:pPr>
        <w:pStyle w:val="TextBody"/>
        <w:bidi w:val="0"/>
        <w:spacing w:lineRule="auto" w:line="288" w:before="120" w:after="283"/>
        <w:jc w:val="both"/>
        <w:rPr/>
      </w:pPr>
      <w:r>
        <w:rPr>
          <w:color w:val="000000"/>
        </w:rPr>
        <w:t>•</w:t>
      </w:r>
      <w:r>
        <w:rPr>
          <w:rFonts w:ascii="Times New Roman;serif" w:hAnsi="Times New Roman;serif"/>
          <w:b w:val="false"/>
          <w:color w:val="000000"/>
          <w:sz w:val="20"/>
        </w:rPr>
        <w:t>an increase of $7.4 million in salaries and other employment related costs including share-based compensation expenses, which was mainly driven by termination and severance costs related to the reduction in workforce initiative announced in April 2026 and an increase in the number of employees engaged in selling, general and administrative activities;</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an increase of $2.1 million in information technology infrastructure and support for information systems and facility costs relating to the conduct of corporate and commercial operations, including increase in space utilized for these activities;</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an increase of $1.1 million in professional fees primarily related to commercialization activities in the U.S. and U.K; and</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 loss on impairment of fixed assets amounting to $0.3 million.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Exchange Gains (Losses),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exchange gains (losses), net decreased to a gain of $0.5 million for the three months ended June 30, 2026 as compared to a gain of $1.5 million for the three months ended June 30, 2025 primarily due to gains and losses on a variety of items, including on U.S. dollar monetary assets and liabilities held by our main operating subsidiary in the United Kingdom, as well as our cash and cash equivalents and liabilities related to future royalties and milestones.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decreased to $1.9 million for the three months ended June 30, 2026, as compared to $5.2 million for the three months ended June 30, 2025. The decrease in interest income of $3.3 million was primarily driven by lower aggregate balances and yield associated with our cash, cash equivalents and marketable securities during the three months ended June 30, 2026 as compared to the three months ended June 30, 2025.</w:t>
      </w:r>
    </w:p>
    <w:p>
      <w:pPr>
        <w:pStyle w:val="TextBody"/>
        <w:bidi w:val="0"/>
        <w:spacing w:before="2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240" w:after="283"/>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to negative $2.7 million for the three months ended June 30, 2026 as compared to negative $6.8 million for the three months ended June 30, 2025. Interest expense, net decreased by $4.2 million primarily due to changes in the assumptions used in the valuation of the Collaboration Agreement with Blackstone and the BioNTech License and Option Agreement. These assumption changes during the three months ended June 30, 2026 and June 30, 2025 respectively, resulted in a negative cumulative catch-up adjustment which exceeded the interest expense accrued relating to Blackstone Collaboration Agreement (“Blackstone Collaboration Agreement Liability”) and the BioNTech Obe-cel Product Revenue Interest (“BioNTech Liability”).</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expense increased to $0.5 million for the three months ended June 30, 2026 as compared to $0.4 million for the three months ended June 30, 2025. Income tax expenses increased by $0.1 million primarily due the mix of pre-tax income and losses incurred in various tax jurisdictions during the three months ended June 30, 2026 compared to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Comparison of Six Months Ended June 30, 2026 and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2026, and 2025 (in thousands):</w:t>
      </w:r>
    </w:p>
    <w:p>
      <w:pPr>
        <w:pStyle w:val="TextBody"/>
        <w:bidi w:val="0"/>
        <w:spacing w:before="0" w:after="0"/>
        <w:ind w:left="0" w:right="0" w:firstLine="630"/>
        <w:jc w:val="left"/>
        <w:rPr/>
      </w:pPr>
      <w:r>
        <w:rPr/>
      </w:r>
    </w:p>
    <w:tbl>
      <w:tblPr>
        <w:tblW w:w="9842" w:type="dxa"/>
        <w:jc w:val="left"/>
        <w:tblInd w:w="0" w:type="dxa"/>
        <w:tblLayout w:type="fixed"/>
        <w:tblCellMar>
          <w:top w:w="28" w:type="dxa"/>
          <w:left w:w="28" w:type="dxa"/>
          <w:bottom w:w="28" w:type="dxa"/>
          <w:right w:w="28" w:type="dxa"/>
        </w:tblCellMar>
      </w:tblPr>
      <w:tblGrid>
        <w:gridCol w:w="1351"/>
        <w:gridCol w:w="1190"/>
        <w:gridCol w:w="1194"/>
        <w:gridCol w:w="211"/>
        <w:gridCol w:w="901"/>
        <w:gridCol w:w="109"/>
        <w:gridCol w:w="109"/>
        <w:gridCol w:w="109"/>
        <w:gridCol w:w="109"/>
        <w:gridCol w:w="211"/>
        <w:gridCol w:w="901"/>
        <w:gridCol w:w="109"/>
        <w:gridCol w:w="109"/>
        <w:gridCol w:w="109"/>
        <w:gridCol w:w="109"/>
        <w:gridCol w:w="258"/>
        <w:gridCol w:w="883"/>
        <w:gridCol w:w="133"/>
        <w:gridCol w:w="109"/>
        <w:gridCol w:w="109"/>
        <w:gridCol w:w="109"/>
        <w:gridCol w:w="271"/>
        <w:gridCol w:w="271"/>
        <w:gridCol w:w="868"/>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percentage)</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 net</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71,907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29,905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42,002</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8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Cost and operating expenses: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(103,351)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(126,457)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23,106</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 gains,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other (expense) income, net</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(17,029)</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loss before income tax</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(109,381)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(115,458)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6,077</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8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(110,709)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(118,081)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7,372</w:t>
            </w:r>
            <w:r>
              <w:rPr>
                <w:color w:val="000000"/>
              </w:rPr>
              <w:t>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8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began recognizing product revenue, net arising from the commercial sales of AUCATZYL in the United States and United Kingdom in January 2025 and January 2026, respectively. Product revenue, net increased by $42.0 million to $71.9 million for the six months ended June 30, 2026 from $29.9 million for the six months ended June 30, 2025. The increase is primarily due to an increase in the number of AUCATZYL doses administered in the territories where we commercialize AUCATZYL.</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120" w:after="283"/>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sales increased by $2.6 million to $45.0 million for the six months ended June 30, 2026 from $42.4 million for the six months ended June 30, 2025. The increase was primarily attributable to higher product volumes and the associated increase in third-party royalties, partially offset by the benefits of the ongoing operational efficiency initiatives announced in April 2026 and improved utilization of manufacturing capacity. Cost of sales for the six months ended June 30, 2025 included inventory write-downs of $3.2 million and third-party royalties of $0.7 million. Cost of sales for the six months ended June 30, 2026 included inventory write-downs of $3.1 million and third-party royalties of $2.5 million.</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sales as a percentage of revenue decreased from 142% to 63% from the six months ended June 30, 2025 to June 30, 2026. The decrease is primarily the result of higher product volumes and operational changes at the Nucleus facility in the six months ended June 30, 2026 resulting in a lower cost per batch manufactured, including the benefits of the ongoing operational efficiency initiatives announced in April 2026.</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manufacturing expenses incurred prior to AUCATZYL receiving the FDA approval were classified as research and development expenses, resulting in zero cost inventory. If cost of sales included previously expensed inventories, the total cost of sales with these manufacturing costs included would have increased by approximately $0.5 million and $4.3 million for the six months ended June 30, 2026 and 2025, respectively.</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Research and Development Expenses,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additional detail on our research and development expenses, net (in thousands):</w:t>
      </w:r>
    </w:p>
    <w:tbl>
      <w:tblPr>
        <w:tblW w:w="10205" w:type="dxa"/>
        <w:jc w:val="left"/>
        <w:tblInd w:w="0" w:type="dxa"/>
        <w:tblLayout w:type="fixed"/>
        <w:tblCellMar>
          <w:top w:w="28" w:type="dxa"/>
          <w:left w:w="28" w:type="dxa"/>
          <w:bottom w:w="28" w:type="dxa"/>
          <w:right w:w="28" w:type="dxa"/>
        </w:tblCellMar>
      </w:tblPr>
      <w:tblGrid>
        <w:gridCol w:w="1660"/>
        <w:gridCol w:w="1444"/>
        <w:gridCol w:w="1452"/>
        <w:gridCol w:w="211"/>
        <w:gridCol w:w="736"/>
        <w:gridCol w:w="109"/>
        <w:gridCol w:w="109"/>
        <w:gridCol w:w="109"/>
        <w:gridCol w:w="109"/>
        <w:gridCol w:w="211"/>
        <w:gridCol w:w="736"/>
        <w:gridCol w:w="109"/>
        <w:gridCol w:w="109"/>
        <w:gridCol w:w="109"/>
        <w:gridCol w:w="109"/>
        <w:gridCol w:w="233"/>
        <w:gridCol w:w="863"/>
        <w:gridCol w:w="120"/>
        <w:gridCol w:w="109"/>
        <w:gridCol w:w="109"/>
        <w:gridCol w:w="109"/>
        <w:gridCol w:w="267"/>
        <w:gridCol w:w="254"/>
        <w:gridCol w:w="819"/>
      </w:tblGrid>
      <w:tr>
        <w:trPr/>
        <w:tc>
          <w:tcPr>
            <w:tcW w:w="1660"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4556" w:type="dxa"/>
            <w:gridSpan w:val="3"/>
            <w:tcBorders/>
            <w:tcMar>
              <w:top w:w="0" w:type="dxa"/>
              <w:left w:w="0" w:type="dxa"/>
              <w:bottom w:w="0" w:type="dxa"/>
              <w:right w:w="0" w:type="dxa"/>
            </w:tcMar>
            <w:vAlign w:val="center"/>
          </w:tcPr>
          <w:p>
            <w:pPr>
              <w:pStyle w:val="TableContents"/>
              <w:bidi w:val="0"/>
              <w:spacing w:before="0" w:after="40"/>
              <w:jc w:val="left"/>
              <w:rPr/>
            </w:pPr>
            <w:r>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percentage)</w:t>
            </w:r>
          </w:p>
        </w:tc>
      </w:tr>
      <w:tr>
        <w:trPr/>
        <w:tc>
          <w:tcPr>
            <w:tcW w:w="4556" w:type="dxa"/>
            <w:gridSpan w:val="3"/>
            <w:tcBorders/>
            <w:tcMar>
              <w:top w:w="0" w:type="dxa"/>
              <w:left w:w="0" w:type="dxa"/>
              <w:bottom w:w="0" w:type="dxa"/>
              <w:right w:w="0" w:type="dxa"/>
            </w:tcMar>
            <w:vAlign w:val="center"/>
          </w:tcPr>
          <w:p>
            <w:pPr>
              <w:pStyle w:val="TableContents"/>
              <w:bidi w:val="0"/>
              <w:spacing w:before="0" w:after="40"/>
              <w:jc w:val="left"/>
              <w:rPr/>
            </w:pPr>
            <w:r>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Direct research and development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 cell malignancies (Obe-cel)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projects (AUTO4, AUTO5, AUTO6, AUTO7 &amp; AUTO8)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direct research and development expense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(11,001)</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w:t>
            </w:r>
          </w:p>
        </w:tc>
        <w:tc>
          <w:tcPr>
            <w:tcW w:w="8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Indirect research and development expenses and unallocated costs: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Personnel related (including share-based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55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research and development expenses,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49,108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right"/>
              <w:rPr/>
            </w:pPr>
            <w:r>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54,164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right"/>
              <w:rPr/>
            </w:pPr>
            <w:r>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(5,056)</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8538"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Indirect research and development expense is net of U.K. research and development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net decreased by $5.1 million to $49.1 million for the six months ended June 30, 2026 from $54.2 million for the six months ended June 30, 2025 primarily due to:</w:t>
      </w:r>
    </w:p>
    <w:p>
      <w:pPr>
        <w:pStyle w:val="TextBody"/>
        <w:bidi w:val="0"/>
        <w:spacing w:lineRule="auto" w:line="288" w:before="120" w:after="283"/>
        <w:jc w:val="both"/>
        <w:rPr/>
      </w:pPr>
      <w:r>
        <w:rPr>
          <w:color w:val="000000"/>
        </w:rPr>
        <w:t>•</w:t>
      </w:r>
      <w:r>
        <w:rPr>
          <w:rFonts w:ascii="Times New Roman;serif" w:hAnsi="Times New Roman;serif"/>
          <w:b w:val="false"/>
          <w:color w:val="000000"/>
          <w:sz w:val="20"/>
        </w:rPr>
        <w:t>a decrease of $4.3 million in salaries and other employment related costs including share-based compensation expense relating to research and development activities;</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 xml:space="preserve">a decrease of $2.8 million which is primarily due to decreases in information technology infrastructure and support for information systems and contractor costs relating to research and development activities; </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 decrease of $1.0 million in clinical trial costs, clinical manufacturing costs, material transportation costs and utilization of raw materials and consumables relating to research and development activities; offset by:</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 decrease of $3.0 million in United Kingdom R&amp;D tax credits (increase in R&amp;D expense) due to no longer being eligible for the SME scheme and moving to the merged RDEC from January 1, 2025, as well as lower qualifying spend.</w:t>
      </w:r>
    </w:p>
    <w:p>
      <w:pPr>
        <w:pStyle w:val="TextBody"/>
        <w:bidi w:val="0"/>
        <w:spacing w:before="2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240" w:after="283"/>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by $21.3 million to $81.1 million for the six months ended June 30, 2026 from $59.8 million for the six months ended June 30, 2025 primarily due to: </w:t>
      </w:r>
    </w:p>
    <w:p>
      <w:pPr>
        <w:pStyle w:val="TextBody"/>
        <w:bidi w:val="0"/>
        <w:spacing w:lineRule="auto" w:line="288" w:before="120" w:after="283"/>
        <w:jc w:val="both"/>
        <w:rPr/>
      </w:pPr>
      <w:r>
        <w:rPr>
          <w:color w:val="000000"/>
        </w:rPr>
        <w:t>•</w:t>
      </w:r>
      <w:r>
        <w:rPr>
          <w:rFonts w:ascii="Times New Roman;serif" w:hAnsi="Times New Roman;serif"/>
          <w:b w:val="false"/>
          <w:color w:val="000000"/>
          <w:sz w:val="20"/>
        </w:rPr>
        <w:t>an increase of $14.7 million in salaries and other employment related costs including share-based compensation expenses, which was mainly driven by termination and severance costs related to the reduction in workforce initiative announced in April 2026 and an increase in the number of employees engaged in selling, general and administrative activities;</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 xml:space="preserve">an increase of $3.7 million in information technology infrastructure and support for information systems and facility costs relating to the conduct of corporate and commercial operations including increase in space utilized for these activities; </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an increase of $2.6 million in commercial costs including legal and professional fees and marketing costs associated with market access activities; and</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 loss on impairment of fixed assets amounting to $0.3 million.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Exchange Gains (Losses),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exchange gains (losses), net decreased to a loss of $2.2 million for the six months ended June 30, 2026 from a gain of $2.7 million for the six months ended June 30, 2025. The gains and losses rises on a variety of items, including on U.S. dollar monetary assets and liabilities held by our main operating subsidiary in the United Kingdom, including our cash and cash equivalents and liabilities related to future royalties and milestones.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decreased to $4.3 million for the six months ended June 30, 2026, as compared to $11.4 million for the six months ended June 30, 2025. The decrease in interest income of $7.1 million primarily relates to lower aggregate balances and yield associated with our cash, cash equivalents and available-for-sale securities during the six months ended June 30, 2026 as compared to the six months ended June 30, 2025.</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to $8.5 million for the six months ended June 30, 2026 as compared to $3.3 million for the six months ended June 30, 2025. Interest expense, net decreased by $5.1 million primarily due to cumulative catch up adjustments as a result of changes in the assumptions used in the valuation of the Collaboration Agreement with Blackstone and the BioNTech License and Option Agreement for the six months ended June 30, 2026 compared to the six months ended June 30, 2025.</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Income Tax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decreased to $1.3 million for the six months ended June 30, 2026 as compared to $2.6 million for the six months ended June 30, 2025. Income tax expenses, net decreased by $1.3 million primarily due to the mix of pre-tax income and losses incurred in various tax jurisdictions during the six months ended June 30, 2026 compared to the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incurred operating losses and negative cash flows from our operations. We expect to incur significant expenses and operating losses for the foreseeable future as we market AUCATZYL and advance our other product candidates through preclinical and clinical development and seek regulatory approval and pursue commercialization of any additional approved products. As a result, we will need significant additional capital to fund our operations until such time as we can generate significant revenue from sales of AUCATZYL or other products.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one product approved for commercial sale in the United States and United Kingdom, AUCATZYL, of which the first commercial sale of AUCATZYL in the United States and United Kingdom was made during January 2025 and January 2026, respectively. We have funded our operations to date primarily with proceeds from government grants, sales of our equity securities including ADSs, through public offerings and pursuant to our at-the-market equity facility, through U.K. research and development tax credits and receipts from the SME and RDEC schemes, out-licensing arrangements, strategic collaboration agreements and sale of our commercial product. We have an accumulated deficit of $1,497.5 million as of June 30, 2026.</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120" w:after="283"/>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incur significant expenses and operating losses for the foreseeable future as we market and continue commercialization of AUCATZYL and advance our other product candidates through preclinical and clinical development and seek regulatory approval and pursue commercialization of any additional approved products. As a result, we will need significant additional capital to fund our operations until such time as we can generate significant revenue from sales of AUCATZYL or other products for which we may obtain regulatory approval.</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funded our operations to date primarily with proceeds from product revenue, government grants, sales of our equity securities, through public offerings and pursuant to our at-the-market equity facility, United Kingdom research and development tax credits and receipts from the SME and RDEC schemes, out-licensing arrangements and strategic collaboration and financing agreements. From our inception in 2014 through June 30, 2026, we have generated an aggregate of $1.9 billion from these capital sources.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$171.4 million and available-for-sale debt securities of $30.2 million.</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each of the periods presented (in thousands):</w:t>
      </w:r>
    </w:p>
    <w:tbl>
      <w:tblPr>
        <w:tblW w:w="9038" w:type="dxa"/>
        <w:jc w:val="left"/>
        <w:tblInd w:w="0" w:type="dxa"/>
        <w:tblLayout w:type="fixed"/>
        <w:tblCellMar>
          <w:top w:w="28" w:type="dxa"/>
          <w:left w:w="28" w:type="dxa"/>
          <w:bottom w:w="28" w:type="dxa"/>
          <w:right w:w="28" w:type="dxa"/>
        </w:tblCellMar>
      </w:tblPr>
      <w:tblGrid>
        <w:gridCol w:w="2290"/>
        <w:gridCol w:w="2017"/>
        <w:gridCol w:w="2022"/>
        <w:gridCol w:w="211"/>
        <w:gridCol w:w="796"/>
        <w:gridCol w:w="109"/>
        <w:gridCol w:w="109"/>
        <w:gridCol w:w="109"/>
        <w:gridCol w:w="109"/>
        <w:gridCol w:w="211"/>
        <w:gridCol w:w="901"/>
        <w:gridCol w:w="154"/>
      </w:tblGrid>
      <w:tr>
        <w:trPr/>
        <w:tc>
          <w:tcPr>
            <w:tcW w:w="2290"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67,274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(103,473)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Net Cash Used in Operating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our operating activities was $90.4 million for the six months ended June 30, 2026, compared to net cash used in operating activities of $148.3 million for the six months ended June 30, 2025. The decrease of $58.0 million in net cash used in our operating activities was primarily driven by increases in accounts receivable, inventories net, operating lease liability and working capital movements, reflecting the timing of payments, partially offset by prepaid expenses, accounts payable and accrued expenses working capital movements.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Net Cash Provided by Investing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net cash provided by investing activities amounted to $164.1 million and $36.4 million, respectively. Net cash provided by investing activities during the six months ended June 30, 2026 primarily reflected by $182.4 million in proceeds from maturity and redemption of marketable securities, offset by purchases of marketable securities totaling $14.7 million, and purchases of property and equipment totaling $3.6 million. Net cash provided by investing activities during the six months ended June 30, 2025 consisted of $171.2 million in proceeds from maturity and redemption of marketable securities, offset by $119.3 million related to purchases of marketable securities and $15.5 million purchases of property and equipment. </w:t>
      </w:r>
    </w:p>
    <w:p>
      <w:pPr>
        <w:pStyle w:val="TextBody"/>
        <w:bidi w:val="0"/>
        <w:spacing w:lineRule="auto" w:line="288" w:before="240" w:after="40"/>
        <w:ind w:left="0" w:right="0" w:firstLine="720"/>
        <w:jc w:val="both"/>
        <w:rPr>
          <w:rFonts w:ascii="Times New Roman;serif" w:hAnsi="Times New Roman;serif"/>
          <w:b/>
          <w:i/>
          <w:color w:val="000000"/>
          <w:sz w:val="20"/>
        </w:rPr>
      </w:pPr>
      <w:r>
        <w:rPr>
          <w:rFonts w:ascii="Times New Roman;serif" w:hAnsi="Times New Roman;serif"/>
          <w:b/>
          <w:i/>
          <w:color w:val="000000"/>
          <w:sz w:val="20"/>
        </w:rPr>
        <w:t>Net Cash Used in Financing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financing activities totaled $4.2 million, primarily due to revenue share payments to Blackstone and BioNTech. During the six months ended June 30, 2025, there were revenue share payments to Blackstone and BioNTech amounting to $0.8 million.</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Funding Requirements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continue incurring significant expenses in connection with our ongoing activities, particularly as we continue to market and sell AUCATZYL, operate our commercial manufacturing facility and advance the preclinical activities and clinical trials of our other product candidates. Our expenses may increase as we:</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maintain our sales, marketing and distribution infrastructure in connection with commercializing AUCATZYL and other product candidates for which we may obtain marketing approval and intend to commercialize on our own or jointly;</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initiate new preclinical activities and clinical trials for our product candidates;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seek regulatory approvals for any product candidates that successfully complete preclinical and clinical trials;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retain our manufacturing, clinical, medical and development personnel;</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expand our infrastructure and facilities to accommodate our employee base; and</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uses of capital are compensation and related expenses, clinical costs, external research and development services, laboratory and related supplies, legal and other regulatory expenses, manufacturing and selling AUCATZYL, and administrative and overhead costs. Our future funding requirements will be heavily determined by the resources needed to support the development of our product candidates and commercialization of AUCATZYL. We also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our current clinical development and commercialization plans, we believe our existing cash and cash equivalents of $171.4 million, marketable securities of $30.2 million as of June 30, 2026 together with the $75.0 million received from its Notes Purchase Agreement with Perceptive, and the expected proceeds from the sale of AUCATZYL, will enable us to fund our current and planned operating expenses and capital expenditure requirements for at least twelve months from the date of issuance of this Quarterly Report. We have based these estimates on assumptions that may prove to be wrong, and we could utilize our available capital resources sooner than we expect. If we receive regulatory approval for our other product candidates, we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research, development and commercialization of pharmaceutical product candidates, we are unable to estimate the exact amount of our working capital requirements. Our future funding requirements will depend on and could increase significantly as a result of many factors, including:</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our ability to continue to execute our commercialization strategies for AUCATZYL and, if approved, any of our other product candidates for which we may receive regulatory approval;</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scope, progress, outcome and costs of our clinical trials and other research and development activities;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costs, timing, receipt and terms of any marketing approvals from applicable regulatory authorities;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costs of future activities, including product sales, medical affairs, marketing, manufacturing and distribution, for AUCATZYL or any of our product candidates for which we receive marketing approval;</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revenue, if any, received from commercial sale of AUCATZYL or our other product candidates, should any receive marketing approval;</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costs and timing of hiring new employees to support our continued growth;</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 and</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extent to which we in-license or acquire additional product candidates or technologies.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Until such time, if ever, that we can generate product revenue sufficient to achieve profitability, we expect to finance our cash needs through a combination of public or private equity and debt offerings, reimbursable United Kingdom research and development tax credits and receipts from the SME and RDEC schemes, out-licensing agreements, or strategic collaboration agreements. To the extent that we raise additional capital through the sale of equity, the ownership interest of existing shareholders will be diluted. If we raise additional funds through other third-party funding, collaborations agreements, strategic alliances, out-licensing agreements or marketing and distribution arrangements,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120" w:after="283"/>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unaudited condensed consolidated interim financial statements, which we have prepared in accordance with U.S. GAAP. The preparation of our unaudited condensed consolidated financial statements and related disclosures requires us to make estimates and judgments that affect the reported amounts of assets, liabilities, costs and expenses, and the disclosure of contingent assets and liabilities in our unaudited condensed consolidated interim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and significant judgments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other than disclosed in Notes 15 to 17 to our unaudited condensed consolidated interim financial statements included in this Quarterly Report, there have been no material changes to our contractual obligations and commitments from those described under “Management’s Discussion and Analysis of Financial Condition and Results of Operations” included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Recent Accounting Pronouncements Not Yet Adopted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description of recently issued accounting pronouncements that may potentially impact our financial position and results of operations is disclosed in Note 2, “Summary of Significant Accounting Policies,” to our unaudited condensed consolidated interim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SEC rules and regulations, we are not required to provide the information required by this item in this Quarterly Report on Form 10-Q, as we are considered to be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and Rule 15d-15(e) under the Securities Exchange Act of 1934, as amended,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June 30, 2026.</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such evaluation, our Chief Executive Officer and our Chief Financial Officer have concluded that our disclosure controls and procedures were effective at June 30,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changes in our internal control over financial reporting (as defined in Rules 13a-15(e) and 15d – 15(e)) under the Exchange Act)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p>
      <w:pPr>
        <w:pStyle w:val="TextBody"/>
        <w:bidi w:val="0"/>
        <w:spacing w:before="36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You should carefully consider and the information in this Quarterly Report on Form 10-Q, including our financial statements, and related notes, and the risk factors discussed in our most recent Annual Report on Form 10-K, in evaluating our business and prospects. If any of these risks actually occur, our business and financial results could be harmed. In that case, the trading price our ADSs could decline. You should also consider the more detailed description of our business contained in our Annual Report.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during the period covered in this Quarterly Report on Form 10-Q to the Risk Factors previously disclosed in our most recent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Insider Trading Arrangements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under the Exchange Act) adopted or terminated a “Rule 10b5-1 trading arrangement” or “non-Rule 10b5-1 trading arrangement,” as those terms are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either provided with this Quarterly Report on Form 10-Q or are incorporated herein by reference:</w:t>
      </w:r>
    </w:p>
    <w:tbl>
      <w:tblPr>
        <w:tblW w:w="10205" w:type="dxa"/>
        <w:jc w:val="left"/>
        <w:tblInd w:w="0" w:type="dxa"/>
        <w:tblLayout w:type="fixed"/>
        <w:tblCellMar>
          <w:top w:w="28" w:type="dxa"/>
          <w:left w:w="28" w:type="dxa"/>
          <w:bottom w:w="28" w:type="dxa"/>
          <w:right w:w="28" w:type="dxa"/>
        </w:tblCellMar>
      </w:tblPr>
      <w:tblGrid>
        <w:gridCol w:w="388"/>
        <w:gridCol w:w="340"/>
        <w:gridCol w:w="343"/>
        <w:gridCol w:w="109"/>
        <w:gridCol w:w="109"/>
        <w:gridCol w:w="109"/>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461"/>
      </w:tblGrid>
      <w:tr>
        <w:trPr/>
        <w:tc>
          <w:tcPr>
            <w:tcW w:w="38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5918" w:type="dxa"/>
            <w:gridSpan w:val="18"/>
            <w:tcBorders/>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E32E1"/>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E32E1"/>
                  <w:sz w:val="20"/>
                  <w:u w:val="single"/>
                </w:rPr>
                <w:t>Articles of Association of Autolus Therapeutics plc (incorporated by reference to Exhibit 3.1 to our Registration Statement on Form F-1 (file no: 333-224720))</w:t>
              </w:r>
            </w:hyperlink>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tolus-10xqx06302026ex311.htm">
              <w:r>
                <w:rPr>
                  <w:rStyle w:val="InternetLink"/>
                  <w:rFonts w:ascii="Times New Roman;serif" w:hAnsi="Times New Roman;serif"/>
                  <w:b w:val="false"/>
                  <w:color w:val="0E32E1"/>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tcMar>
              <w:top w:w="0" w:type="dxa"/>
              <w:left w:w="0" w:type="dxa"/>
              <w:bottom w:w="0" w:type="dxa"/>
              <w:right w:w="0" w:type="dxa"/>
            </w:tcMar>
            <w:vAlign w:val="center"/>
          </w:tcPr>
          <w:p>
            <w:pPr>
              <w:pStyle w:val="TableContents"/>
              <w:bidi w:val="0"/>
              <w:spacing w:lineRule="auto" w:line="240" w:before="0" w:after="0"/>
              <w:jc w:val="both"/>
              <w:rPr/>
            </w:pPr>
            <w:hyperlink w:anchor="autolus-10xqx06302026ex311.htm">
              <w:r>
                <w:rPr>
                  <w:rStyle w:val="InternetLink"/>
                  <w:rFonts w:ascii="Times New Roman;serif" w:hAnsi="Times New Roman;serif"/>
                  <w:b w:val="false"/>
                  <w:color w:val="0E32E1"/>
                  <w:sz w:val="20"/>
                  <w:u w:val="single"/>
                </w:rPr>
                <w:t>Certification of Principal Executive Officer Pursuant to Rules 13a-14(a) and 15d-14(a) under the Securities Exchange Act of 1934, as Adopted Pursuant to Section 302 of the Sarbanes-Oxley Act of 2002.</w:t>
              </w:r>
            </w:hyperlink>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tolus-10xqx06302026ex312.htm">
              <w:r>
                <w:rPr>
                  <w:rStyle w:val="InternetLink"/>
                  <w:rFonts w:ascii="Times New Roman;serif" w:hAnsi="Times New Roman;serif"/>
                  <w:b w:val="false"/>
                  <w:color w:val="0E32E1"/>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tcMar>
              <w:top w:w="0" w:type="dxa"/>
              <w:left w:w="0" w:type="dxa"/>
              <w:bottom w:w="0" w:type="dxa"/>
              <w:right w:w="0" w:type="dxa"/>
            </w:tcMar>
            <w:vAlign w:val="center"/>
          </w:tcPr>
          <w:p>
            <w:pPr>
              <w:pStyle w:val="TableContents"/>
              <w:bidi w:val="0"/>
              <w:spacing w:lineRule="auto" w:line="240" w:before="0" w:after="0"/>
              <w:jc w:val="both"/>
              <w:rPr/>
            </w:pPr>
            <w:hyperlink w:anchor="autolus-10xqx06302026ex312.htm">
              <w:r>
                <w:rPr>
                  <w:rStyle w:val="InternetLink"/>
                  <w:rFonts w:ascii="Times New Roman;serif" w:hAnsi="Times New Roman;serif"/>
                  <w:b w:val="false"/>
                  <w:color w:val="0E32E1"/>
                  <w:sz w:val="20"/>
                  <w:u w:val="single"/>
                </w:rPr>
                <w:t>Certification of Principal Financial Officer Pursuant to Rules 13a-14(a) and 15d-14(a) under the Securities Exchange Act of 1934, as Adopted Pursuant to Section 302 of the Sarbanes-Oxley Act of 2002.</w:t>
              </w:r>
            </w:hyperlink>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tolus-10xqx06302026ex321.htm">
              <w:r>
                <w:rPr>
                  <w:rStyle w:val="InternetLink"/>
                  <w:rFonts w:ascii="Times New Roman;serif" w:hAnsi="Times New Roman;serif"/>
                  <w:b w:val="false"/>
                  <w:color w:val="0E32E1"/>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tcMar>
              <w:top w:w="0" w:type="dxa"/>
              <w:left w:w="0" w:type="dxa"/>
              <w:bottom w:w="0" w:type="dxa"/>
              <w:right w:w="0" w:type="dxa"/>
            </w:tcMar>
            <w:vAlign w:val="center"/>
          </w:tcPr>
          <w:p>
            <w:pPr>
              <w:pStyle w:val="TableContents"/>
              <w:bidi w:val="0"/>
              <w:spacing w:lineRule="auto" w:line="240" w:before="0" w:after="0"/>
              <w:jc w:val="both"/>
              <w:rPr/>
            </w:pPr>
            <w:hyperlink w:anchor="autolus-10xqx06302026ex321.htm">
              <w:r>
                <w:rPr>
                  <w:rStyle w:val="InternetLink"/>
                  <w:rFonts w:ascii="Times New Roman;serif" w:hAnsi="Times New Roman;serif"/>
                  <w:b w:val="false"/>
                  <w:color w:val="0E32E1"/>
                  <w:sz w:val="20"/>
                  <w:u w:val="single"/>
                </w:rPr>
                <w:t>Certification of Principal Executive Officer and Principal Financial Officer Pursuant to 18 U.S.C. Section 1350, as Adopted Pursuant to Section 906 of the Sarbanes-Oxley Act of 2002.</w:t>
              </w:r>
            </w:hyperlink>
          </w:p>
        </w:tc>
      </w:tr>
    </w:tbl>
    <w:tbl>
      <w:tblPr>
        <w:tblW w:w="8059" w:type="dxa"/>
        <w:jc w:val="left"/>
        <w:tblInd w:w="0" w:type="dxa"/>
        <w:tblLayout w:type="fixed"/>
        <w:tblCellMar>
          <w:top w:w="28" w:type="dxa"/>
          <w:left w:w="28" w:type="dxa"/>
          <w:bottom w:w="28" w:type="dxa"/>
          <w:right w:w="28" w:type="dxa"/>
        </w:tblCellMar>
      </w:tblPr>
      <w:tblGrid>
        <w:gridCol w:w="348"/>
        <w:gridCol w:w="304"/>
        <w:gridCol w:w="308"/>
        <w:gridCol w:w="109"/>
        <w:gridCol w:w="109"/>
        <w:gridCol w:w="109"/>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350"/>
      </w:tblGrid>
      <w:tr>
        <w:trPr/>
        <w:tc>
          <w:tcPr>
            <w:tcW w:w="34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4549" w:type="dxa"/>
            <w:gridSpan w:val="18"/>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345" w:before="0" w:after="0"/>
        <w:jc w:val="left"/>
        <w:rPr/>
      </w:pPr>
      <w:hyperlink w:anchor="i90a8785df81a47d58f005d0adf3d9792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2892"/>
        <w:gridCol w:w="2892"/>
        <w:gridCol w:w="40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055" w:type="dxa"/>
        <w:jc w:val="left"/>
        <w:tblInd w:w="0" w:type="dxa"/>
        <w:tblLayout w:type="fixed"/>
        <w:tblCellMar>
          <w:top w:w="28" w:type="dxa"/>
          <w:left w:w="28" w:type="dxa"/>
          <w:bottom w:w="28" w:type="dxa"/>
          <w:right w:w="28" w:type="dxa"/>
        </w:tblCellMar>
      </w:tblPr>
      <w:tblGrid>
        <w:gridCol w:w="216"/>
        <w:gridCol w:w="191"/>
        <w:gridCol w:w="192"/>
        <w:gridCol w:w="484"/>
        <w:gridCol w:w="484"/>
        <w:gridCol w:w="486"/>
        <w:gridCol w:w="237"/>
        <w:gridCol w:w="237"/>
        <w:gridCol w:w="237"/>
        <w:gridCol w:w="307"/>
        <w:gridCol w:w="307"/>
        <w:gridCol w:w="307"/>
        <w:gridCol w:w="1539"/>
        <w:gridCol w:w="1539"/>
        <w:gridCol w:w="2292"/>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Autolus Therapeutics plc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9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Christian Itin, Ph.D.</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Itin, Ph.D.</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(On Behalf of the Registrant and as Principal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Dolski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Dolski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Certification by the Principal Executive Officer pursuant to</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Securities Exchange Act Rules 13a-14(a) and 15d-14(a)</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Christian Itin,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34"/>
        <w:gridCol w:w="942"/>
        <w:gridCol w:w="942"/>
        <w:gridCol w:w="2346"/>
        <w:gridCol w:w="1836"/>
        <w:gridCol w:w="2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of Autolus Therapeutics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4.</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5.</w:t>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Any fraud, whether or not material, that involves management or other employees who have a significant role in the registrant’s internal control over financial reporting.</w:t>
            </w:r>
          </w:p>
        </w:tc>
      </w:tr>
    </w:tbl>
    <w:p>
      <w:pPr>
        <w:pStyle w:val="TextBody"/>
        <w:bidi w:val="0"/>
        <w:spacing w:before="0" w:after="120"/>
        <w:jc w:val="both"/>
        <w:rPr/>
      </w:pPr>
      <w:r>
        <w:rPr/>
      </w:r>
    </w:p>
    <w:tbl>
      <w:tblPr>
        <w:tblW w:w="4515" w:type="dxa"/>
        <w:jc w:val="left"/>
        <w:tblInd w:w="0" w:type="dxa"/>
        <w:tblLayout w:type="fixed"/>
        <w:tblCellMar>
          <w:top w:w="28" w:type="dxa"/>
          <w:left w:w="28" w:type="dxa"/>
          <w:bottom w:w="28" w:type="dxa"/>
          <w:right w:w="28" w:type="dxa"/>
        </w:tblCellMar>
      </w:tblPr>
      <w:tblGrid>
        <w:gridCol w:w="705"/>
        <w:gridCol w:w="621"/>
        <w:gridCol w:w="624"/>
        <w:gridCol w:w="746"/>
        <w:gridCol w:w="746"/>
        <w:gridCol w:w="107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Itin, Ph.D.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Christian Itin, Ph.D.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Certification by the Principal Financial Officer pursuant to</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Securities Exchange Act Rules 13a-14(a) and 15d-14(a)</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Robert Dolski,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34"/>
        <w:gridCol w:w="942"/>
        <w:gridCol w:w="942"/>
        <w:gridCol w:w="2346"/>
        <w:gridCol w:w="1836"/>
        <w:gridCol w:w="2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of Autolus Therapeutics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4.</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5.</w:t>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Any fraud, whether or not material, that involves management or other employees who have a significant role in the registrant’s internal control over financial reporting.</w:t>
            </w:r>
          </w:p>
        </w:tc>
      </w:tr>
    </w:tbl>
    <w:p>
      <w:pPr>
        <w:pStyle w:val="TextBody"/>
        <w:bidi w:val="0"/>
        <w:spacing w:before="0" w:after="120"/>
        <w:jc w:val="both"/>
        <w:rPr/>
      </w:pPr>
      <w:r>
        <w:rPr/>
      </w:r>
    </w:p>
    <w:tbl>
      <w:tblPr>
        <w:tblW w:w="4469" w:type="dxa"/>
        <w:jc w:val="left"/>
        <w:tblInd w:w="0" w:type="dxa"/>
        <w:tblLayout w:type="fixed"/>
        <w:tblCellMar>
          <w:top w:w="28" w:type="dxa"/>
          <w:left w:w="28" w:type="dxa"/>
          <w:bottom w:w="28" w:type="dxa"/>
          <w:right w:w="28" w:type="dxa"/>
        </w:tblCellMar>
      </w:tblPr>
      <w:tblGrid>
        <w:gridCol w:w="705"/>
        <w:gridCol w:w="621"/>
        <w:gridCol w:w="624"/>
        <w:gridCol w:w="736"/>
        <w:gridCol w:w="736"/>
        <w:gridCol w:w="104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Dolski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Robert Dolski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w:t>
      </w:r>
      <w:r>
        <w:rPr>
          <w:color w:val="000000"/>
        </w:rPr>
        <w:t xml:space="preserve"> </w:t>
      </w:r>
      <w:r>
        <w:rPr>
          <w:rFonts w:ascii="Times New Roman;serif" w:hAnsi="Times New Roman;serif"/>
          <w:b w:val="false"/>
          <w:color w:val="000000"/>
          <w:sz w:val="20"/>
        </w:rPr>
        <w:t>Christian Itin, Chief Executive Officer of Autolus Therapeutics plc (the “Company”), and Robert Dolski, Chief Financial Officer of the Company, each hereby certifies that, to the best of his or her knowledge: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quarter ended June 30, 2026, to which this Certification is attached as Exhibit 32.1 (the “Periodic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Quarterly Report fairly presents, in all material respects, the financial condition and results of operations of the Company.</w:t>
            </w:r>
          </w:p>
        </w:tc>
      </w:tr>
    </w:tbl>
    <w:p>
      <w:pPr>
        <w:pStyle w:val="TextBody"/>
        <w:bidi w:val="0"/>
        <w:spacing w:lineRule="auto" w:line="288" w:before="0" w:after="0"/>
        <w:ind w:left="0" w:right="0" w:firstLine="1440"/>
        <w:jc w:val="left"/>
        <w:rPr>
          <w:color w:val="000000"/>
        </w:rPr>
      </w:pPr>
      <w:r>
        <w:rPr>
          <w:color w:val="000000"/>
        </w:rPr>
        <w:t>        </w:t>
      </w:r>
    </w:p>
    <w:tbl>
      <w:tblPr>
        <w:tblW w:w="1995" w:type="dxa"/>
        <w:jc w:val="left"/>
        <w:tblInd w:w="0" w:type="dxa"/>
        <w:tblLayout w:type="fixed"/>
        <w:tblCellMar>
          <w:top w:w="28" w:type="dxa"/>
          <w:left w:w="28" w:type="dxa"/>
          <w:bottom w:w="28" w:type="dxa"/>
          <w:right w:w="28" w:type="dxa"/>
        </w:tblCellMar>
      </w:tblPr>
      <w:tblGrid>
        <w:gridCol w:w="637"/>
        <w:gridCol w:w="561"/>
        <w:gridCol w:w="797"/>
      </w:tblGrid>
      <w:tr>
        <w:trPr/>
        <w:tc>
          <w:tcPr>
            <w:tcW w:w="63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r>
    </w:tbl>
    <w:p>
      <w:pPr>
        <w:pStyle w:val="TextBody"/>
        <w:bidi w:val="0"/>
        <w:spacing w:before="0" w:after="0"/>
        <w:jc w:val="left"/>
        <w:rPr/>
      </w:pPr>
      <w:r>
        <w:rPr/>
      </w:r>
    </w:p>
    <w:tbl>
      <w:tblPr>
        <w:tblW w:w="6882" w:type="dxa"/>
        <w:jc w:val="left"/>
        <w:tblInd w:w="0" w:type="dxa"/>
        <w:tblLayout w:type="fixed"/>
        <w:tblCellMar>
          <w:top w:w="28" w:type="dxa"/>
          <w:left w:w="28" w:type="dxa"/>
          <w:bottom w:w="28" w:type="dxa"/>
          <w:right w:w="28" w:type="dxa"/>
        </w:tblCellMar>
      </w:tblPr>
      <w:tblGrid>
        <w:gridCol w:w="1176"/>
        <w:gridCol w:w="1033"/>
        <w:gridCol w:w="1046"/>
        <w:gridCol w:w="109"/>
        <w:gridCol w:w="109"/>
        <w:gridCol w:w="109"/>
        <w:gridCol w:w="965"/>
        <w:gridCol w:w="965"/>
        <w:gridCol w:w="1370"/>
      </w:tblGrid>
      <w:tr>
        <w:trPr/>
        <w:tc>
          <w:tcPr>
            <w:tcW w:w="117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Christian Itin,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Dolski</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Christian Itin,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Robert Dolski</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(Principal Financial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Autolus Therapeutics plc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0463/000119312518196344/d531832dex31.htm" TargetMode="External"/><Relationship Id="rId3" Type="http://schemas.openxmlformats.org/officeDocument/2006/relationships/hyperlink" Target="https://www.sec.gov/Archives/edgar/data/1730463/000119312518196344/d531832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25157</Words>
  <Characters>142026</Characters>
  <CharactersWithSpaces>165553</CharactersWithSpaces>
  <Paragraphs>2760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