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212529"/>
        </w:rPr>
        <w:t>UNITED STATES</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212529"/>
        </w:rPr>
        <w:t>SECURITIES AND EXCHANGE COMMISSION</w:t>
      </w:r>
    </w:p>
    <w:p>
      <w:pPr>
        <w:spacing w:after="0" w:line="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2"/>
          <w:szCs w:val="12"/>
          <w:b w:val="1"/>
          <w:bCs w:val="1"/>
          <w:color w:val="212529"/>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2052320</wp:posOffset>
            </wp:positionH>
            <wp:positionV relativeFrom="paragraph">
              <wp:posOffset>128905</wp:posOffset>
            </wp:positionV>
            <wp:extent cx="298323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83230" cy="5715"/>
                    </a:xfrm>
                    <a:prstGeom prst="rect">
                      <a:avLst/>
                    </a:prstGeom>
                    <a:noFill/>
                  </pic:spPr>
                </pic:pic>
              </a:graphicData>
            </a:graphic>
          </wp:anchor>
        </w:drawing>
      </w:r>
    </w:p>
    <w:p>
      <w:pPr>
        <w:spacing w:after="0" w:line="385"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22"/>
          <w:szCs w:val="22"/>
          <w:b w:val="1"/>
          <w:bCs w:val="1"/>
          <w:color w:val="212529"/>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2052320</wp:posOffset>
            </wp:positionH>
            <wp:positionV relativeFrom="paragraph">
              <wp:posOffset>144780</wp:posOffset>
            </wp:positionV>
            <wp:extent cx="298323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83230" cy="571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212529"/>
        </w:rPr>
        <w:t>CURRENT REPORT</w:t>
      </w:r>
    </w:p>
    <w:p>
      <w:pPr>
        <w:spacing w:after="0" w:line="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212529"/>
        </w:rPr>
        <w:t>Pursuant to Section 13 or 15(d)</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212529"/>
        </w:rPr>
        <w:t>of the Securities Exchange Act of 1934</w:t>
      </w:r>
    </w:p>
    <w:p>
      <w:pPr>
        <w:spacing w:after="0" w:line="15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2"/>
          <w:szCs w:val="12"/>
          <w:b w:val="1"/>
          <w:bCs w:val="1"/>
          <w:color w:val="212529"/>
        </w:rPr>
        <w:t>Date of Report (Date of earliest event reported): May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2035175</wp:posOffset>
            </wp:positionH>
            <wp:positionV relativeFrom="paragraph">
              <wp:posOffset>207645</wp:posOffset>
            </wp:positionV>
            <wp:extent cx="298323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83230" cy="571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Autolus Therapeutics plc</w:t>
      </w:r>
    </w:p>
    <w:p>
      <w:pPr>
        <w:spacing w:after="0" w:line="32"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2"/>
          <w:szCs w:val="12"/>
          <w:b w:val="1"/>
          <w:bCs w:val="1"/>
          <w:color w:val="212529"/>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2035175</wp:posOffset>
            </wp:positionH>
            <wp:positionV relativeFrom="paragraph">
              <wp:posOffset>128905</wp:posOffset>
            </wp:positionV>
            <wp:extent cx="298323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83230" cy="571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tbl>
      <w:tblPr>
        <w:tblLayout w:type="fixed"/>
        <w:tblInd w:w="1800" w:type="dxa"/>
        <w:tblCellMar>
          <w:top w:w="0" w:type="dxa"/>
          <w:left w:w="0" w:type="dxa"/>
          <w:bottom w:w="0" w:type="dxa"/>
          <w:right w:w="0" w:type="dxa"/>
        </w:tblCellMar>
      </w:tblPr>
      <w:tr>
        <w:trPr>
          <w:trHeight w:val="175"/>
        </w:trPr>
        <w:tc>
          <w:tcPr>
            <w:tcW w:w="300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England and Wales</w:t>
            </w:r>
          </w:p>
        </w:tc>
        <w:tc>
          <w:tcPr>
            <w:tcW w:w="1940" w:type="dxa"/>
            <w:vAlign w:val="bottom"/>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rPr>
              <w:t>001-38547</w:t>
            </w:r>
          </w:p>
        </w:tc>
        <w:tc>
          <w:tcPr>
            <w:tcW w:w="2200" w:type="dxa"/>
            <w:vAlign w:val="bottom"/>
          </w:tcPr>
          <w:p>
            <w:pPr>
              <w:jc w:val="center"/>
              <w:ind w:left="360"/>
              <w:spacing w:after="0"/>
              <w:rPr>
                <w:sz w:val="20"/>
                <w:szCs w:val="20"/>
                <w:color w:val="auto"/>
              </w:rPr>
            </w:pPr>
            <w:r>
              <w:rPr>
                <w:rFonts w:ascii="Times New Roman" w:cs="Times New Roman" w:eastAsia="Times New Roman" w:hAnsi="Times New Roman"/>
                <w:sz w:val="12"/>
                <w:szCs w:val="12"/>
                <w:b w:val="1"/>
                <w:bCs w:val="1"/>
                <w:color w:val="auto"/>
                <w:w w:val="99"/>
              </w:rPr>
              <w:t>Not applicable</w:t>
            </w:r>
          </w:p>
        </w:tc>
      </w:tr>
      <w:tr>
        <w:trPr>
          <w:trHeight w:val="173"/>
        </w:trPr>
        <w:tc>
          <w:tcPr>
            <w:tcW w:w="300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9"/>
              </w:rPr>
              <w:t>(State or other jurisdiction of incorporation or organization)</w:t>
            </w:r>
          </w:p>
        </w:tc>
        <w:tc>
          <w:tcPr>
            <w:tcW w:w="1940" w:type="dxa"/>
            <w:vAlign w:val="bottom"/>
          </w:tcPr>
          <w:p>
            <w:pPr>
              <w:jc w:val="center"/>
              <w:ind w:right="240"/>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2200" w:type="dxa"/>
            <w:vAlign w:val="bottom"/>
          </w:tcPr>
          <w:p>
            <w:pPr>
              <w:jc w:val="center"/>
              <w:ind w:left="400"/>
              <w:spacing w:after="0"/>
              <w:rPr>
                <w:sz w:val="20"/>
                <w:szCs w:val="20"/>
                <w:color w:val="auto"/>
              </w:rPr>
            </w:pPr>
            <w:r>
              <w:rPr>
                <w:rFonts w:ascii="Times New Roman" w:cs="Times New Roman" w:eastAsia="Times New Roman" w:hAnsi="Times New Roman"/>
                <w:sz w:val="12"/>
                <w:szCs w:val="12"/>
                <w:color w:val="auto"/>
                <w:w w:val="99"/>
              </w:rPr>
              <w:t>(I.R.S. Employer Identification No.)</w:t>
            </w:r>
          </w:p>
        </w:tc>
      </w:tr>
      <w:tr>
        <w:trPr>
          <w:trHeight w:val="225"/>
        </w:trPr>
        <w:tc>
          <w:tcPr>
            <w:tcW w:w="3000" w:type="dxa"/>
            <w:vAlign w:val="bottom"/>
          </w:tcPr>
          <w:p>
            <w:pPr>
              <w:spacing w:after="0"/>
              <w:rPr>
                <w:sz w:val="19"/>
                <w:szCs w:val="19"/>
                <w:color w:val="auto"/>
              </w:rPr>
            </w:pPr>
          </w:p>
        </w:tc>
        <w:tc>
          <w:tcPr>
            <w:tcW w:w="1940" w:type="dxa"/>
            <w:vAlign w:val="bottom"/>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The Mediaworks</w:t>
            </w:r>
          </w:p>
        </w:tc>
        <w:tc>
          <w:tcPr>
            <w:tcW w:w="2200" w:type="dxa"/>
            <w:vAlign w:val="bottom"/>
          </w:tcPr>
          <w:p>
            <w:pPr>
              <w:spacing w:after="0"/>
              <w:rPr>
                <w:sz w:val="19"/>
                <w:szCs w:val="19"/>
                <w:color w:val="auto"/>
              </w:rPr>
            </w:pPr>
          </w:p>
        </w:tc>
      </w:tr>
      <w:tr>
        <w:trPr>
          <w:trHeight w:val="171"/>
        </w:trPr>
        <w:tc>
          <w:tcPr>
            <w:tcW w:w="3000" w:type="dxa"/>
            <w:vAlign w:val="bottom"/>
          </w:tcPr>
          <w:p>
            <w:pPr>
              <w:spacing w:after="0"/>
              <w:rPr>
                <w:sz w:val="14"/>
                <w:szCs w:val="14"/>
                <w:color w:val="auto"/>
              </w:rPr>
            </w:pPr>
          </w:p>
        </w:tc>
        <w:tc>
          <w:tcPr>
            <w:tcW w:w="1940" w:type="dxa"/>
            <w:vAlign w:val="bottom"/>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191 Wood Lane</w:t>
            </w:r>
          </w:p>
        </w:tc>
        <w:tc>
          <w:tcPr>
            <w:tcW w:w="2200" w:type="dxa"/>
            <w:vAlign w:val="bottom"/>
          </w:tcPr>
          <w:p>
            <w:pPr>
              <w:spacing w:after="0"/>
              <w:rPr>
                <w:sz w:val="14"/>
                <w:szCs w:val="14"/>
                <w:color w:val="auto"/>
              </w:rPr>
            </w:pPr>
          </w:p>
        </w:tc>
      </w:tr>
      <w:tr>
        <w:trPr>
          <w:trHeight w:val="171"/>
        </w:trPr>
        <w:tc>
          <w:tcPr>
            <w:tcW w:w="3000" w:type="dxa"/>
            <w:vAlign w:val="bottom"/>
          </w:tcPr>
          <w:p>
            <w:pPr>
              <w:spacing w:after="0"/>
              <w:rPr>
                <w:sz w:val="14"/>
                <w:szCs w:val="14"/>
                <w:color w:val="auto"/>
              </w:rPr>
            </w:pPr>
          </w:p>
        </w:tc>
        <w:tc>
          <w:tcPr>
            <w:tcW w:w="1940" w:type="dxa"/>
            <w:vAlign w:val="bottom"/>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London W12 7FP</w:t>
            </w:r>
          </w:p>
        </w:tc>
        <w:tc>
          <w:tcPr>
            <w:tcW w:w="2200" w:type="dxa"/>
            <w:vAlign w:val="bottom"/>
          </w:tcPr>
          <w:p>
            <w:pPr>
              <w:spacing w:after="0"/>
              <w:rPr>
                <w:sz w:val="14"/>
                <w:szCs w:val="14"/>
                <w:color w:val="auto"/>
              </w:rPr>
            </w:pPr>
          </w:p>
        </w:tc>
      </w:tr>
      <w:tr>
        <w:trPr>
          <w:trHeight w:val="171"/>
        </w:trPr>
        <w:tc>
          <w:tcPr>
            <w:tcW w:w="3000" w:type="dxa"/>
            <w:vAlign w:val="bottom"/>
          </w:tcPr>
          <w:p>
            <w:pPr>
              <w:spacing w:after="0"/>
              <w:rPr>
                <w:sz w:val="14"/>
                <w:szCs w:val="14"/>
                <w:color w:val="auto"/>
              </w:rPr>
            </w:pPr>
          </w:p>
        </w:tc>
        <w:tc>
          <w:tcPr>
            <w:tcW w:w="1940" w:type="dxa"/>
            <w:vAlign w:val="bottom"/>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United Kingdom</w:t>
            </w:r>
          </w:p>
        </w:tc>
        <w:tc>
          <w:tcPr>
            <w:tcW w:w="2200" w:type="dxa"/>
            <w:vAlign w:val="bottom"/>
          </w:tcPr>
          <w:p>
            <w:pPr>
              <w:spacing w:after="0"/>
              <w:rPr>
                <w:sz w:val="14"/>
                <w:szCs w:val="14"/>
                <w:color w:val="auto"/>
              </w:rPr>
            </w:pPr>
          </w:p>
        </w:tc>
      </w:tr>
    </w:tbl>
    <w:p>
      <w:pPr>
        <w:spacing w:after="0" w:line="16"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2"/>
          <w:szCs w:val="12"/>
          <w:color w:val="auto"/>
        </w:rPr>
        <w:t>(Address of principal executive offices)(Zip Code)</w:t>
      </w:r>
    </w:p>
    <w:p>
      <w:pPr>
        <w:spacing w:after="0" w:line="101" w:lineRule="exact"/>
        <w:rPr>
          <w:sz w:val="24"/>
          <w:szCs w:val="24"/>
          <w:color w:val="auto"/>
        </w:rPr>
      </w:pPr>
    </w:p>
    <w:p>
      <w:pPr>
        <w:ind w:left="5260"/>
        <w:spacing w:after="0"/>
        <w:rPr>
          <w:sz w:val="20"/>
          <w:szCs w:val="20"/>
          <w:color w:val="auto"/>
        </w:rPr>
      </w:pPr>
      <w:r>
        <w:rPr>
          <w:rFonts w:ascii="Times New Roman" w:cs="Times New Roman" w:eastAsia="Times New Roman" w:hAnsi="Times New Roman"/>
          <w:sz w:val="12"/>
          <w:szCs w:val="12"/>
          <w:b w:val="1"/>
          <w:bCs w:val="1"/>
          <w:color w:val="auto"/>
        </w:rPr>
        <w:t>(44) 20 3829 6230</w:t>
      </w:r>
    </w:p>
    <w:p>
      <w:pPr>
        <w:spacing w:after="0" w:line="37"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p>
      <w:pPr>
        <w:spacing w:after="0" w:line="101"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212529"/>
        </w:rPr>
        <w:t>Not Applicable</w:t>
      </w:r>
    </w:p>
    <w:p>
      <w:pPr>
        <w:spacing w:after="0" w:line="37"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2"/>
          <w:szCs w:val="12"/>
          <w:color w:val="212529"/>
        </w:rPr>
        <w:t>(Former name or former address, if changed since last report)</w:t>
      </w:r>
    </w:p>
    <w:p>
      <w:pPr>
        <w:spacing w:after="0" w:line="240"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Check the appropriate box below if the Form 8-K filing is intended to simultaneously satisfy the filing obligation of the registrant under any of the following provisions (see General Instruction A.2. below):</w:t>
      </w:r>
    </w:p>
    <w:p>
      <w:pPr>
        <w:spacing w:after="0" w:line="117" w:lineRule="exact"/>
        <w:rPr>
          <w:sz w:val="24"/>
          <w:szCs w:val="24"/>
          <w:color w:val="auto"/>
        </w:rPr>
      </w:pPr>
    </w:p>
    <w:p>
      <w:pPr>
        <w:ind w:left="640" w:hanging="636"/>
        <w:spacing w:after="0"/>
        <w:tabs>
          <w:tab w:leader="none" w:pos="6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51" w:lineRule="exact"/>
        <w:rPr>
          <w:rFonts w:ascii="MS PGothic" w:cs="MS PGothic" w:eastAsia="MS PGothic" w:hAnsi="MS PGothic"/>
          <w:sz w:val="12"/>
          <w:szCs w:val="12"/>
          <w:color w:val="auto"/>
        </w:rPr>
      </w:pPr>
    </w:p>
    <w:p>
      <w:pPr>
        <w:ind w:left="640" w:hanging="636"/>
        <w:spacing w:after="0"/>
        <w:tabs>
          <w:tab w:leader="none" w:pos="6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51" w:lineRule="exact"/>
        <w:rPr>
          <w:rFonts w:ascii="MS PGothic" w:cs="MS PGothic" w:eastAsia="MS PGothic" w:hAnsi="MS PGothic"/>
          <w:sz w:val="12"/>
          <w:szCs w:val="12"/>
          <w:color w:val="auto"/>
        </w:rPr>
      </w:pPr>
    </w:p>
    <w:p>
      <w:pPr>
        <w:ind w:left="640" w:hanging="636"/>
        <w:spacing w:after="0"/>
        <w:tabs>
          <w:tab w:leader="none" w:pos="6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51" w:lineRule="exact"/>
        <w:rPr>
          <w:rFonts w:ascii="MS PGothic" w:cs="MS PGothic" w:eastAsia="MS PGothic" w:hAnsi="MS PGothic"/>
          <w:sz w:val="12"/>
          <w:szCs w:val="12"/>
          <w:color w:val="auto"/>
        </w:rPr>
      </w:pPr>
    </w:p>
    <w:p>
      <w:pPr>
        <w:ind w:left="640" w:hanging="636"/>
        <w:spacing w:after="0"/>
        <w:tabs>
          <w:tab w:leader="none" w:pos="6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632460</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05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color w:val="212529"/>
        </w:rPr>
        <w:t>Securities registered pursuant to Section 12(b) of the Act:</w:t>
      </w:r>
    </w:p>
    <w:p>
      <w:pPr>
        <w:spacing w:after="0" w:line="87" w:lineRule="exact"/>
        <w:rPr>
          <w:sz w:val="20"/>
          <w:szCs w:val="20"/>
          <w:color w:val="auto"/>
        </w:rPr>
      </w:pPr>
    </w:p>
    <w:tbl>
      <w:tblPr>
        <w:tblLayout w:type="fixed"/>
        <w:tblInd w:w="10" w:type="dxa"/>
        <w:tblCellMar>
          <w:top w:w="0" w:type="dxa"/>
          <w:left w:w="0" w:type="dxa"/>
          <w:bottom w:w="0" w:type="dxa"/>
          <w:right w:w="0" w:type="dxa"/>
        </w:tblCellMar>
      </w:tblPr>
      <w:tr>
        <w:trPr>
          <w:trHeight w:val="174"/>
        </w:trPr>
        <w:tc>
          <w:tcPr>
            <w:tcW w:w="42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2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28"/>
        </w:trPr>
        <w:tc>
          <w:tcPr>
            <w:tcW w:w="4200" w:type="dxa"/>
            <w:vAlign w:val="bottom"/>
            <w:tcBorders>
              <w:left w:val="single" w:sz="8" w:color="auto"/>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2"/>
                <w:szCs w:val="12"/>
                <w:color w:val="auto"/>
                <w:w w:val="99"/>
              </w:rPr>
              <w:t>American Depositary Shares, each representing one ordinary share, nominal value</w:t>
            </w:r>
          </w:p>
        </w:tc>
        <w:tc>
          <w:tcPr>
            <w:tcW w:w="258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2"/>
                <w:szCs w:val="12"/>
                <w:color w:val="auto"/>
                <w:w w:val="99"/>
              </w:rPr>
              <w:t>AUTL</w:t>
            </w:r>
          </w:p>
        </w:tc>
        <w:tc>
          <w:tcPr>
            <w:tcW w:w="454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2"/>
                <w:szCs w:val="12"/>
                <w:color w:val="auto"/>
                <w:w w:val="99"/>
              </w:rPr>
              <w:t>The Nasdaq Global Select Market</w:t>
            </w:r>
          </w:p>
        </w:tc>
      </w:tr>
      <w:tr>
        <w:trPr>
          <w:trHeight w:val="164"/>
        </w:trPr>
        <w:tc>
          <w:tcPr>
            <w:tcW w:w="42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$0.000042 per share</w:t>
            </w:r>
          </w:p>
        </w:tc>
        <w:tc>
          <w:tcPr>
            <w:tcW w:w="2580" w:type="dxa"/>
            <w:vAlign w:val="bottom"/>
            <w:tcBorders>
              <w:bottom w:val="single" w:sz="8" w:color="auto"/>
              <w:right w:val="single" w:sz="8" w:color="auto"/>
            </w:tcBorders>
          </w:tcPr>
          <w:p>
            <w:pPr>
              <w:spacing w:after="0"/>
              <w:rPr>
                <w:sz w:val="14"/>
                <w:szCs w:val="14"/>
                <w:color w:val="auto"/>
              </w:rPr>
            </w:pPr>
          </w:p>
        </w:tc>
        <w:tc>
          <w:tcPr>
            <w:tcW w:w="4540" w:type="dxa"/>
            <w:vAlign w:val="bottom"/>
            <w:tcBorders>
              <w:bottom w:val="single" w:sz="8" w:color="auto"/>
              <w:right w:val="single" w:sz="8" w:color="auto"/>
            </w:tcBorders>
          </w:tcPr>
          <w:p>
            <w:pPr>
              <w:spacing w:after="0"/>
              <w:rPr>
                <w:sz w:val="14"/>
                <w:szCs w:val="14"/>
                <w:color w:val="auto"/>
              </w:rPr>
            </w:pPr>
          </w:p>
        </w:tc>
      </w:tr>
      <w:tr>
        <w:trPr>
          <w:trHeight w:val="161"/>
        </w:trPr>
        <w:tc>
          <w:tcPr>
            <w:tcW w:w="42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Ordinary shares, nominal value $0.000042 per share*</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The Nasdaq Stock Market LLC*</w:t>
            </w:r>
          </w:p>
        </w:tc>
      </w:tr>
    </w:tbl>
    <w:p>
      <w:pPr>
        <w:spacing w:after="0" w:line="79" w:lineRule="exact"/>
        <w:rPr>
          <w:sz w:val="20"/>
          <w:szCs w:val="20"/>
          <w:color w:val="auto"/>
        </w:rPr>
      </w:pPr>
    </w:p>
    <w:p>
      <w:pPr>
        <w:jc w:val="both"/>
        <w:ind w:left="320" w:right="20" w:hanging="241"/>
        <w:spacing w:after="0" w:line="249" w:lineRule="auto"/>
        <w:tabs>
          <w:tab w:leader="none" w:pos="320" w:val="left"/>
        </w:tabs>
        <w:numPr>
          <w:ilvl w:val="0"/>
          <w:numId w:val="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color w:val="auto"/>
        </w:rPr>
        <w:t>Not for trading, but only in connection with the listing of the American Depositary Shares on The Nasdaq Global Select Market. The American Depositary Shares represent the right to receive ordinary shares and are being registered under the Securities Act of 1933, as amended, pursuant to a separate Registration Statement on Form F-6. Accordingly, the American Depositary Shares are exempt from the operation of Section 12(a) of the Securities Exchange Act of 1934, as amended, pursuant to Rule 12a-8 thereunder.</w:t>
      </w:r>
    </w:p>
    <w:p>
      <w:pPr>
        <w:spacing w:after="0" w:line="129"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ind w:left="9840"/>
        <w:spacing w:after="0" w:line="127" w:lineRule="exact"/>
        <w:rPr>
          <w:sz w:val="20"/>
          <w:szCs w:val="20"/>
          <w:color w:val="auto"/>
        </w:rPr>
      </w:pPr>
      <w:r>
        <w:rPr>
          <w:rFonts w:ascii="Times New Roman" w:cs="Times New Roman" w:eastAsia="Times New Roman" w:hAnsi="Times New Roman"/>
          <w:sz w:val="11"/>
          <w:szCs w:val="11"/>
          <w:color w:val="212529"/>
        </w:rPr>
        <w:t xml:space="preserve">Emerging growth company </w:t>
      </w:r>
      <w:r>
        <w:rPr>
          <w:rFonts w:ascii="MS PGothic" w:cs="MS PGothic" w:eastAsia="MS PGothic" w:hAnsi="MS PGothic"/>
          <w:sz w:val="11"/>
          <w:szCs w:val="11"/>
          <w:color w:val="212529"/>
        </w:rPr>
        <w:t>☐</w:t>
      </w:r>
    </w:p>
    <w:p>
      <w:pPr>
        <w:spacing w:after="0" w:line="172" w:lineRule="exact"/>
        <w:rPr>
          <w:sz w:val="20"/>
          <w:szCs w:val="20"/>
          <w:color w:val="auto"/>
        </w:rPr>
      </w:pPr>
    </w:p>
    <w:p>
      <w:pPr>
        <w:jc w:val="both"/>
        <w:ind w:right="2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Conditions.</w:t>
      </w:r>
    </w:p>
    <w:p>
      <w:pPr>
        <w:spacing w:after="0" w:line="8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May 14, 2026, Autolus Therapeutics plc (the “Company”) announced its financial results for the quarter ended March 31, 2026 and provided a corporate update. A copy of the press release is being furnished as Exhibit 99.1 hereto and is incorporated by reference herein.</w:t>
      </w:r>
    </w:p>
    <w:p>
      <w:pPr>
        <w:spacing w:after="0" w:line="3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color w:val="auto"/>
        </w:rPr>
        <w:t>The information in this Item 2.02, including Exhibit 99.1 attached hereto, is being furnished and shall not be deemed “filed” for purposes of Section 18 of the Securities Exchange Act of 1934, as amended (the “</w:t>
      </w:r>
      <w:r>
        <w:rPr>
          <w:rFonts w:ascii="Times New Roman" w:cs="Times New Roman" w:eastAsia="Times New Roman" w:hAnsi="Times New Roman"/>
          <w:sz w:val="12"/>
          <w:szCs w:val="12"/>
          <w:b w:val="1"/>
          <w:bCs w:val="1"/>
          <w:i w:val="1"/>
          <w:iCs w:val="1"/>
          <w:color w:val="auto"/>
        </w:rPr>
        <w:t>Exchange Act</w:t>
      </w:r>
      <w:r>
        <w:rPr>
          <w:rFonts w:ascii="Times New Roman" w:cs="Times New Roman" w:eastAsia="Times New Roman" w:hAnsi="Times New Roman"/>
          <w:sz w:val="12"/>
          <w:szCs w:val="12"/>
          <w:color w:val="auto"/>
        </w:rPr>
        <w:t>”), or otherwise subject to the liabilities of that section. The information contained herein and in the accompanying exhibit is not incorporated by reference in any filing of the Company under the Securities Act of 1933, as amended (the “</w:t>
      </w:r>
      <w:r>
        <w:rPr>
          <w:rFonts w:ascii="Times New Roman" w:cs="Times New Roman" w:eastAsia="Times New Roman" w:hAnsi="Times New Roman"/>
          <w:sz w:val="12"/>
          <w:szCs w:val="12"/>
          <w:b w:val="1"/>
          <w:bCs w:val="1"/>
          <w:i w:val="1"/>
          <w:iCs w:val="1"/>
          <w:color w:val="auto"/>
        </w:rPr>
        <w:t>Securities Act</w:t>
      </w:r>
      <w:r>
        <w:rPr>
          <w:rFonts w:ascii="Times New Roman" w:cs="Times New Roman" w:eastAsia="Times New Roman" w:hAnsi="Times New Roman"/>
          <w:sz w:val="12"/>
          <w:szCs w:val="12"/>
          <w:color w:val="auto"/>
        </w:rPr>
        <w:t>”), or the Exchange Act, whether made before or after the date hereof, regardless of any general incorporation language in such filing, except as shall be expressly set forth by specific reference in such filing.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8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connection with its conference call on May 14, 2026 to discuss its results for the quarter ended March 31, 2026, the Company will utilize an updated corporate presentation, a copy of which is furnished as Exhibit 99.2 to this Current Report on Form 8-K and incorporated herein by reference.</w:t>
      </w:r>
    </w:p>
    <w:p>
      <w:pPr>
        <w:spacing w:after="0" w:line="39"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The information in this Item 7.01, including Exhibit 99.2 attached hereto, is being furnished and shall not be deemed “filed” for purposes of Section 18 of the Exchange Act, or otherwise subject to the liabilities of that section. The information contained herein and in the accompanying exhibit is not incorporated by reference in any filing of the Company under the Securities Act or the Exchange Act, whether made before or after the date hereof, regardless of any general incorporation language in such filing,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572770</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93"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59"/>
        </w:trPr>
        <w:tc>
          <w:tcPr>
            <w:tcW w:w="234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tc>
        <w:tc>
          <w:tcPr>
            <w:tcW w:w="1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60" w:type="dxa"/>
            <w:vAlign w:val="bottom"/>
          </w:tcPr>
          <w:p>
            <w:pPr>
              <w:spacing w:after="0"/>
              <w:rPr>
                <w:sz w:val="13"/>
                <w:szCs w:val="13"/>
                <w:color w:val="auto"/>
              </w:rPr>
            </w:pPr>
          </w:p>
        </w:tc>
      </w:tr>
      <w:tr>
        <w:trPr>
          <w:trHeight w:val="360"/>
        </w:trPr>
        <w:tc>
          <w:tcPr>
            <w:tcW w:w="23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d) Exhibits</w:t>
            </w:r>
          </w:p>
        </w:tc>
        <w:tc>
          <w:tcPr>
            <w:tcW w:w="1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60" w:type="dxa"/>
            <w:vAlign w:val="bottom"/>
          </w:tcPr>
          <w:p>
            <w:pPr>
              <w:spacing w:after="0"/>
              <w:rPr>
                <w:sz w:val="24"/>
                <w:szCs w:val="24"/>
                <w:color w:val="auto"/>
              </w:rPr>
            </w:pPr>
          </w:p>
        </w:tc>
      </w:tr>
      <w:tr>
        <w:trPr>
          <w:trHeight w:val="387"/>
        </w:trPr>
        <w:tc>
          <w:tcPr>
            <w:tcW w:w="234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1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60" w:type="dxa"/>
            <w:vAlign w:val="bottom"/>
          </w:tcPr>
          <w:p>
            <w:pPr>
              <w:ind w:left="1800"/>
              <w:spacing w:after="0"/>
              <w:rPr>
                <w:sz w:val="20"/>
                <w:szCs w:val="20"/>
                <w:color w:val="auto"/>
              </w:rPr>
            </w:pPr>
            <w:r>
              <w:rPr>
                <w:rFonts w:ascii="Times New Roman" w:cs="Times New Roman" w:eastAsia="Times New Roman" w:hAnsi="Times New Roman"/>
                <w:sz w:val="12"/>
                <w:szCs w:val="12"/>
                <w:b w:val="1"/>
                <w:bCs w:val="1"/>
                <w:color w:val="auto"/>
              </w:rPr>
              <w:t>Description of Exhibit</w:t>
            </w:r>
          </w:p>
        </w:tc>
      </w:tr>
      <w:tr>
        <w:trPr>
          <w:trHeight w:val="142"/>
        </w:trPr>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0000FF"/>
              </w:rPr>
              <w:t>99.</w:t>
            </w:r>
            <w:r>
              <w:rPr>
                <w:rFonts w:ascii="Times New Roman" w:cs="Times New Roman" w:eastAsia="Times New Roman" w:hAnsi="Times New Roman"/>
                <w:sz w:val="12"/>
                <w:szCs w:val="12"/>
                <w:u w:val="single" w:color="auto"/>
                <w:color w:val="0000FF"/>
              </w:rPr>
              <w:t>1</w:t>
            </w: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9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2"/>
                <w:szCs w:val="12"/>
                <w:color w:val="0000FF"/>
              </w:rPr>
              <w:t>Press release dated May 14, 2026</w:t>
            </w:r>
          </w:p>
        </w:tc>
      </w:tr>
      <w:tr>
        <w:trPr>
          <w:trHeight w:val="20"/>
        </w:trPr>
        <w:tc>
          <w:tcPr>
            <w:tcW w:w="10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r>
        <w:trPr>
          <w:trHeight w:val="133"/>
        </w:trPr>
        <w:tc>
          <w:tcPr>
            <w:tcW w:w="1000" w:type="dxa"/>
            <w:vAlign w:val="bottom"/>
          </w:tcPr>
          <w:p>
            <w:pPr>
              <w:spacing w:after="0"/>
              <w:rPr>
                <w:sz w:val="11"/>
                <w:szCs w:val="11"/>
                <w:color w:val="auto"/>
              </w:rPr>
            </w:pPr>
          </w:p>
        </w:tc>
        <w:tc>
          <w:tcPr>
            <w:tcW w:w="220" w:type="dxa"/>
            <w:vAlign w:val="bottom"/>
            <w:tcBorders>
              <w:bottom w:val="single" w:sz="8" w:color="0000FF"/>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FF"/>
              </w:rPr>
              <w:t>99.</w:t>
            </w:r>
            <w:r>
              <w:rPr>
                <w:rFonts w:ascii="Times New Roman" w:cs="Times New Roman" w:eastAsia="Times New Roman" w:hAnsi="Times New Roman"/>
                <w:sz w:val="12"/>
                <w:szCs w:val="12"/>
                <w:u w:val="single" w:color="auto"/>
                <w:color w:val="0000FF"/>
              </w:rPr>
              <w:t>2</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00" w:type="dxa"/>
            <w:vAlign w:val="bottom"/>
            <w:tcBorders>
              <w:bottom w:val="single" w:sz="8" w:color="0000FF"/>
            </w:tcBorders>
            <w:gridSpan w:val="2"/>
          </w:tcPr>
          <w:p>
            <w:pPr>
              <w:spacing w:after="0" w:line="133" w:lineRule="exact"/>
              <w:rPr>
                <w:sz w:val="20"/>
                <w:szCs w:val="20"/>
                <w:color w:val="auto"/>
              </w:rPr>
            </w:pPr>
            <w:r>
              <w:rPr>
                <w:rFonts w:ascii="Times New Roman" w:cs="Times New Roman" w:eastAsia="Times New Roman" w:hAnsi="Times New Roman"/>
                <w:sz w:val="12"/>
                <w:szCs w:val="12"/>
                <w:color w:val="0000FF"/>
                <w:w w:val="99"/>
              </w:rPr>
              <w:t>Corporate Presentation dated May 14, 2026</w:t>
            </w:r>
          </w:p>
        </w:tc>
        <w:tc>
          <w:tcPr>
            <w:tcW w:w="6860" w:type="dxa"/>
            <w:vAlign w:val="bottom"/>
          </w:tcPr>
          <w:p>
            <w:pPr>
              <w:spacing w:after="0"/>
              <w:rPr>
                <w:sz w:val="11"/>
                <w:szCs w:val="11"/>
                <w:color w:val="auto"/>
              </w:rPr>
            </w:pPr>
          </w:p>
        </w:tc>
      </w:tr>
      <w:tr>
        <w:trPr>
          <w:trHeight w:val="160"/>
        </w:trPr>
        <w:tc>
          <w:tcPr>
            <w:tcW w:w="1220" w:type="dxa"/>
            <w:vAlign w:val="bottom"/>
            <w:gridSpan w:val="2"/>
          </w:tcPr>
          <w:p>
            <w:pPr>
              <w:jc w:val="center"/>
              <w:ind w:left="940"/>
              <w:spacing w:after="0"/>
              <w:rPr>
                <w:sz w:val="20"/>
                <w:szCs w:val="20"/>
                <w:color w:val="auto"/>
              </w:rPr>
            </w:pPr>
            <w:r>
              <w:rPr>
                <w:rFonts w:ascii="Times New Roman" w:cs="Times New Roman" w:eastAsia="Times New Roman" w:hAnsi="Times New Roman"/>
                <w:sz w:val="12"/>
                <w:szCs w:val="12"/>
                <w:color w:val="auto"/>
                <w:w w:val="99"/>
              </w:rPr>
              <w:t>104</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9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Date File (embedded within the Inline XBRL document)</w:t>
            </w:r>
          </w:p>
        </w:tc>
      </w:tr>
    </w:tbl>
    <w:p>
      <w:pPr>
        <w:spacing w:after="0" w:line="26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as amended, the registrant has duly caused this report to be signed on its behalf by the undersigned hereunto duly authorized.</w:t>
      </w:r>
    </w:p>
    <w:p>
      <w:pPr>
        <w:spacing w:after="0" w:line="137"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2"/>
          <w:szCs w:val="12"/>
          <w:b w:val="1"/>
          <w:bCs w:val="1"/>
          <w:color w:val="auto"/>
        </w:rPr>
        <w:t>AUTOLUS THERAPEUTICS PLC</w:t>
      </w:r>
    </w:p>
    <w:p>
      <w:pPr>
        <w:spacing w:after="0" w:line="37" w:lineRule="exact"/>
        <w:rPr>
          <w:sz w:val="20"/>
          <w:szCs w:val="20"/>
          <w:color w:val="auto"/>
        </w:rPr>
      </w:pPr>
    </w:p>
    <w:p>
      <w:pPr>
        <w:spacing w:after="0"/>
        <w:tabs>
          <w:tab w:leader="none" w:pos="5540" w:val="left"/>
          <w:tab w:leader="none" w:pos="5960" w:val="left"/>
        </w:tabs>
        <w:rPr>
          <w:sz w:val="20"/>
          <w:szCs w:val="20"/>
          <w:color w:val="auto"/>
        </w:rPr>
      </w:pPr>
      <w:r>
        <w:rPr>
          <w:rFonts w:ascii="Times New Roman" w:cs="Times New Roman" w:eastAsia="Times New Roman" w:hAnsi="Times New Roman"/>
          <w:sz w:val="12"/>
          <w:szCs w:val="12"/>
          <w:color w:val="auto"/>
        </w:rPr>
        <w:t>Dated: May 14, 2026</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/s/Christian Itin,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3783965</wp:posOffset>
            </wp:positionH>
            <wp:positionV relativeFrom="paragraph">
              <wp:posOffset>22225</wp:posOffset>
            </wp:positionV>
            <wp:extent cx="338899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88995" cy="5715"/>
                    </a:xfrm>
                    <a:prstGeom prst="rect">
                      <a:avLst/>
                    </a:prstGeom>
                    <a:noFill/>
                  </pic:spPr>
                </pic:pic>
              </a:graphicData>
            </a:graphic>
          </wp:anchor>
        </w:drawing>
      </w:r>
    </w:p>
    <w:p>
      <w:pPr>
        <w:spacing w:after="0" w:line="2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Name: Christian Itin, Ph.D.</w:t>
      </w:r>
    </w:p>
    <w:p>
      <w:pPr>
        <w:spacing w:after="0" w:line="3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Title: Chief Executive Officer</w:t>
      </w:r>
    </w:p>
    <w:p>
      <w:pPr>
        <w:sectPr>
          <w:pgSz w:w="11900" w:h="16838" w:orient="portrait"/>
          <w:cols w:equalWidth="0" w:num="1">
            <w:col w:w="11300"/>
          </w:cols>
          <w:pgMar w:left="300" w:top="1205" w:right="2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24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30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36310"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30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6310"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2026-05-14T06:55:31Z</dcterms:created>
  <dcterms:modified xsi:type="dcterms:W3CDTF">2026-05-14T06:55:31Z</dcterms:modified>
</cp:coreProperties>
</file>