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April 10, 2026</w:t>
      </w:r>
    </w:p>
    <w:p>
      <w:pPr>
        <w:ind w:left="838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46355</wp:posOffset>
            </wp:positionV>
            <wp:extent cx="52914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78740</wp:posOffset>
            </wp:positionV>
            <wp:extent cx="52914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124460</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Form S-3</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124460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Autolus Therapeutics plc</w:t>
      </w:r>
    </w:p>
    <w:p>
      <w:pPr>
        <w:spacing w:after="0" w:line="3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117475</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89" w:lineRule="exact"/>
        <w:rPr>
          <w:sz w:val="24"/>
          <w:szCs w:val="24"/>
          <w:color w:val="auto"/>
        </w:rPr>
      </w:pPr>
    </w:p>
    <w:tbl>
      <w:tblPr>
        <w:tblLayout w:type="fixed"/>
        <w:tblInd w:w="2960" w:type="dxa"/>
        <w:tblCellMar>
          <w:top w:w="0" w:type="dxa"/>
          <w:left w:w="0" w:type="dxa"/>
          <w:bottom w:w="0" w:type="dxa"/>
          <w:right w:w="0" w:type="dxa"/>
        </w:tblCellMar>
      </w:tblPr>
      <w:tr>
        <w:trPr>
          <w:trHeight w:val="126"/>
        </w:trPr>
        <w:tc>
          <w:tcPr>
            <w:tcW w:w="2800" w:type="dxa"/>
            <w:vAlign w:val="bottom"/>
          </w:tcPr>
          <w:p>
            <w:pPr>
              <w:jc w:val="center"/>
              <w:ind w:right="1490"/>
              <w:spacing w:after="0"/>
              <w:rPr>
                <w:sz w:val="20"/>
                <w:szCs w:val="20"/>
                <w:color w:val="auto"/>
              </w:rPr>
            </w:pPr>
            <w:r>
              <w:rPr>
                <w:rFonts w:ascii="Times New Roman" w:cs="Times New Roman" w:eastAsia="Times New Roman" w:hAnsi="Times New Roman"/>
                <w:sz w:val="11"/>
                <w:szCs w:val="11"/>
                <w:b w:val="1"/>
                <w:bCs w:val="1"/>
                <w:color w:val="auto"/>
                <w:w w:val="98"/>
              </w:rPr>
              <w:t>England and Wales</w:t>
            </w:r>
          </w:p>
        </w:tc>
        <w:tc>
          <w:tcPr>
            <w:tcW w:w="2500" w:type="dxa"/>
            <w:vAlign w:val="bottom"/>
          </w:tcPr>
          <w:p>
            <w:pPr>
              <w:jc w:val="center"/>
              <w:ind w:left="1510"/>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r>
      <w:tr>
        <w:trPr>
          <w:trHeight w:val="102"/>
        </w:trPr>
        <w:tc>
          <w:tcPr>
            <w:tcW w:w="2800" w:type="dxa"/>
            <w:vAlign w:val="bottom"/>
          </w:tcPr>
          <w:p>
            <w:pPr>
              <w:jc w:val="center"/>
              <w:ind w:right="1510"/>
              <w:spacing w:after="0" w:line="103"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500" w:type="dxa"/>
            <w:vAlign w:val="bottom"/>
          </w:tcPr>
          <w:p>
            <w:pPr>
              <w:jc w:val="center"/>
              <w:ind w:left="1510"/>
              <w:spacing w:after="0" w:line="103"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2800" w:type="dxa"/>
            <w:vAlign w:val="bottom"/>
          </w:tcPr>
          <w:p>
            <w:pPr>
              <w:jc w:val="center"/>
              <w:ind w:right="1510"/>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2500" w:type="dxa"/>
            <w:vAlign w:val="bottom"/>
          </w:tcPr>
          <w:p>
            <w:pPr>
              <w:jc w:val="center"/>
              <w:ind w:left="1510"/>
              <w:spacing w:after="0"/>
              <w:rPr>
                <w:sz w:val="20"/>
                <w:szCs w:val="20"/>
                <w:color w:val="auto"/>
              </w:rPr>
            </w:pPr>
            <w:r>
              <w:rPr>
                <w:rFonts w:ascii="Times New Roman" w:cs="Times New Roman" w:eastAsia="Times New Roman" w:hAnsi="Times New Roman"/>
                <w:sz w:val="10"/>
                <w:szCs w:val="10"/>
                <w:b w:val="1"/>
                <w:bCs w:val="1"/>
                <w:color w:val="auto"/>
                <w:w w:val="94"/>
              </w:rPr>
              <w:t>Identification Number)</w:t>
            </w:r>
          </w:p>
        </w:tc>
      </w:tr>
    </w:tbl>
    <w:p>
      <w:pPr>
        <w:spacing w:after="0" w:line="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The MediaWorks</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191 Wood Lane</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White City</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London W12 7FP</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United Kingdom</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Tel: +44 20 3829 6230</w:t>
      </w:r>
    </w:p>
    <w:p>
      <w:pPr>
        <w:ind w:left="3320"/>
        <w:spacing w:after="0" w:line="235"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118745</wp:posOffset>
            </wp:positionV>
            <wp:extent cx="11087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Autolus Inc.</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15810 Gaither Drive</w:t>
      </w:r>
    </w:p>
    <w:p>
      <w:pPr>
        <w:jc w:val="center"/>
        <w:ind w:right="-1120"/>
        <w:spacing w:after="0" w:line="213" w:lineRule="auto"/>
        <w:rPr>
          <w:sz w:val="20"/>
          <w:szCs w:val="20"/>
          <w:color w:val="auto"/>
        </w:rPr>
      </w:pPr>
      <w:r>
        <w:rPr>
          <w:rFonts w:ascii="Times New Roman" w:cs="Times New Roman" w:eastAsia="Times New Roman" w:hAnsi="Times New Roman"/>
          <w:sz w:val="11"/>
          <w:szCs w:val="11"/>
          <w:b w:val="1"/>
          <w:bCs w:val="1"/>
          <w:color w:val="auto"/>
        </w:rPr>
        <w:t>Gaithersburg, Maryland 20877</w:t>
      </w:r>
    </w:p>
    <w:p>
      <w:pPr>
        <w:jc w:val="center"/>
        <w:ind w:right="-1120"/>
        <w:spacing w:after="0" w:line="217" w:lineRule="auto"/>
        <w:rPr>
          <w:sz w:val="20"/>
          <w:szCs w:val="20"/>
          <w:color w:val="auto"/>
        </w:rPr>
      </w:pPr>
      <w:r>
        <w:rPr>
          <w:rFonts w:ascii="Times New Roman" w:cs="Times New Roman" w:eastAsia="Times New Roman" w:hAnsi="Times New Roman"/>
          <w:sz w:val="11"/>
          <w:szCs w:val="11"/>
          <w:b w:val="1"/>
          <w:bCs w:val="1"/>
          <w:color w:val="auto"/>
        </w:rPr>
        <w:t>United States of America</w:t>
      </w:r>
    </w:p>
    <w:p>
      <w:pPr>
        <w:ind w:left="3620"/>
        <w:spacing w:after="0" w:line="235" w:lineRule="auto"/>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118745</wp:posOffset>
            </wp:positionV>
            <wp:extent cx="11087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7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i w:val="1"/>
          <w:iCs w:val="1"/>
          <w:color w:val="auto"/>
        </w:rPr>
        <w:t>Copies of all communications, including communications sent to agent for service, should be sent to:</w:t>
      </w:r>
    </w:p>
    <w:p>
      <w:pPr>
        <w:spacing w:after="0" w:line="64" w:lineRule="exact"/>
        <w:rPr>
          <w:sz w:val="24"/>
          <w:szCs w:val="24"/>
          <w:color w:val="auto"/>
        </w:rPr>
      </w:pPr>
    </w:p>
    <w:tbl>
      <w:tblPr>
        <w:tblLayout w:type="fixed"/>
        <w:tblInd w:w="2580" w:type="dxa"/>
        <w:tblCellMar>
          <w:top w:w="0" w:type="dxa"/>
          <w:left w:w="0" w:type="dxa"/>
          <w:bottom w:w="0" w:type="dxa"/>
          <w:right w:w="0" w:type="dxa"/>
        </w:tblCellMar>
      </w:tblPr>
      <w:tr>
        <w:trPr>
          <w:trHeight w:val="126"/>
        </w:trPr>
        <w:tc>
          <w:tcPr>
            <w:tcW w:w="3380" w:type="dxa"/>
            <w:vAlign w:val="bottom"/>
          </w:tcPr>
          <w:p>
            <w:pPr>
              <w:jc w:val="center"/>
              <w:ind w:right="1326"/>
              <w:spacing w:after="0"/>
              <w:rPr>
                <w:sz w:val="20"/>
                <w:szCs w:val="20"/>
                <w:color w:val="auto"/>
              </w:rPr>
            </w:pPr>
            <w:r>
              <w:rPr>
                <w:rFonts w:ascii="Times New Roman" w:cs="Times New Roman" w:eastAsia="Times New Roman" w:hAnsi="Times New Roman"/>
                <w:sz w:val="11"/>
                <w:szCs w:val="11"/>
                <w:b w:val="1"/>
                <w:bCs w:val="1"/>
                <w:color w:val="auto"/>
                <w:w w:val="97"/>
              </w:rPr>
              <w:t>Christian E. Plaza</w:t>
            </w:r>
          </w:p>
        </w:tc>
        <w:tc>
          <w:tcPr>
            <w:tcW w:w="2280" w:type="dxa"/>
            <w:vAlign w:val="bottom"/>
          </w:tcPr>
          <w:p>
            <w:pPr>
              <w:jc w:val="center"/>
              <w:ind w:left="1326"/>
              <w:spacing w:after="0"/>
              <w:rPr>
                <w:sz w:val="20"/>
                <w:szCs w:val="20"/>
                <w:color w:val="auto"/>
              </w:rPr>
            </w:pPr>
            <w:r>
              <w:rPr>
                <w:rFonts w:ascii="Times New Roman" w:cs="Times New Roman" w:eastAsia="Times New Roman" w:hAnsi="Times New Roman"/>
                <w:sz w:val="11"/>
                <w:szCs w:val="11"/>
                <w:b w:val="1"/>
                <w:bCs w:val="1"/>
                <w:color w:val="auto"/>
                <w:w w:val="97"/>
              </w:rPr>
              <w:t>Claire Keast-Butler</w:t>
            </w:r>
          </w:p>
        </w:tc>
      </w:tr>
      <w:tr>
        <w:trPr>
          <w:trHeight w:val="112"/>
        </w:trPr>
        <w:tc>
          <w:tcPr>
            <w:tcW w:w="3380" w:type="dxa"/>
            <w:vAlign w:val="bottom"/>
          </w:tcPr>
          <w:p>
            <w:pPr>
              <w:jc w:val="center"/>
              <w:ind w:right="1326"/>
              <w:spacing w:after="0" w:line="113" w:lineRule="exact"/>
              <w:rPr>
                <w:sz w:val="20"/>
                <w:szCs w:val="20"/>
                <w:color w:val="auto"/>
              </w:rPr>
            </w:pPr>
            <w:r>
              <w:rPr>
                <w:rFonts w:ascii="Times New Roman" w:cs="Times New Roman" w:eastAsia="Times New Roman" w:hAnsi="Times New Roman"/>
                <w:sz w:val="11"/>
                <w:szCs w:val="11"/>
                <w:b w:val="1"/>
                <w:bCs w:val="1"/>
                <w:color w:val="auto"/>
                <w:w w:val="96"/>
              </w:rPr>
              <w:t>Courtney T. Thorne</w:t>
            </w:r>
          </w:p>
        </w:tc>
        <w:tc>
          <w:tcPr>
            <w:tcW w:w="2280" w:type="dxa"/>
            <w:vAlign w:val="bottom"/>
          </w:tcPr>
          <w:p>
            <w:pPr>
              <w:jc w:val="center"/>
              <w:ind w:left="1326"/>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Cooley (UK) LLP</w:t>
            </w:r>
          </w:p>
        </w:tc>
      </w:tr>
      <w:tr>
        <w:trPr>
          <w:trHeight w:val="112"/>
        </w:trPr>
        <w:tc>
          <w:tcPr>
            <w:tcW w:w="3380" w:type="dxa"/>
            <w:vAlign w:val="bottom"/>
          </w:tcPr>
          <w:p>
            <w:pPr>
              <w:jc w:val="center"/>
              <w:ind w:right="1326"/>
              <w:spacing w:after="0" w:line="113" w:lineRule="exact"/>
              <w:rPr>
                <w:sz w:val="20"/>
                <w:szCs w:val="20"/>
                <w:color w:val="auto"/>
              </w:rPr>
            </w:pPr>
            <w:r>
              <w:rPr>
                <w:rFonts w:ascii="Times New Roman" w:cs="Times New Roman" w:eastAsia="Times New Roman" w:hAnsi="Times New Roman"/>
                <w:sz w:val="11"/>
                <w:szCs w:val="11"/>
                <w:b w:val="1"/>
                <w:bCs w:val="1"/>
                <w:color w:val="auto"/>
                <w:w w:val="95"/>
              </w:rPr>
              <w:t>William DuVal</w:t>
            </w:r>
          </w:p>
        </w:tc>
        <w:tc>
          <w:tcPr>
            <w:tcW w:w="2280" w:type="dxa"/>
            <w:vAlign w:val="bottom"/>
          </w:tcPr>
          <w:p>
            <w:pPr>
              <w:jc w:val="center"/>
              <w:ind w:left="1326"/>
              <w:spacing w:after="0" w:line="113" w:lineRule="exact"/>
              <w:rPr>
                <w:sz w:val="20"/>
                <w:szCs w:val="20"/>
                <w:color w:val="auto"/>
              </w:rPr>
            </w:pPr>
            <w:r>
              <w:rPr>
                <w:rFonts w:ascii="Times New Roman" w:cs="Times New Roman" w:eastAsia="Times New Roman" w:hAnsi="Times New Roman"/>
                <w:sz w:val="11"/>
                <w:szCs w:val="11"/>
                <w:b w:val="1"/>
                <w:bCs w:val="1"/>
                <w:color w:val="auto"/>
                <w:w w:val="99"/>
              </w:rPr>
              <w:t>22 Bishopsgate</w:t>
            </w:r>
          </w:p>
        </w:tc>
      </w:tr>
      <w:tr>
        <w:trPr>
          <w:trHeight w:val="112"/>
        </w:trPr>
        <w:tc>
          <w:tcPr>
            <w:tcW w:w="3380" w:type="dxa"/>
            <w:vAlign w:val="bottom"/>
          </w:tcPr>
          <w:p>
            <w:pPr>
              <w:jc w:val="center"/>
              <w:ind w:right="1326"/>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Cooley LLP</w:t>
            </w:r>
          </w:p>
        </w:tc>
        <w:tc>
          <w:tcPr>
            <w:tcW w:w="2280" w:type="dxa"/>
            <w:vAlign w:val="bottom"/>
          </w:tcPr>
          <w:p>
            <w:pPr>
              <w:jc w:val="center"/>
              <w:ind w:left="1326"/>
              <w:spacing w:after="0" w:line="113" w:lineRule="exact"/>
              <w:rPr>
                <w:sz w:val="20"/>
                <w:szCs w:val="20"/>
                <w:color w:val="auto"/>
              </w:rPr>
            </w:pPr>
            <w:r>
              <w:rPr>
                <w:rFonts w:ascii="Times New Roman" w:cs="Times New Roman" w:eastAsia="Times New Roman" w:hAnsi="Times New Roman"/>
                <w:sz w:val="11"/>
                <w:szCs w:val="11"/>
                <w:b w:val="1"/>
                <w:bCs w:val="1"/>
                <w:color w:val="auto"/>
                <w:w w:val="97"/>
              </w:rPr>
              <w:t>London EC2N 4BQ</w:t>
            </w:r>
          </w:p>
        </w:tc>
      </w:tr>
      <w:tr>
        <w:trPr>
          <w:trHeight w:val="112"/>
        </w:trPr>
        <w:tc>
          <w:tcPr>
            <w:tcW w:w="3380" w:type="dxa"/>
            <w:vAlign w:val="bottom"/>
          </w:tcPr>
          <w:p>
            <w:pPr>
              <w:jc w:val="center"/>
              <w:ind w:right="1326"/>
              <w:spacing w:after="0" w:line="113" w:lineRule="exact"/>
              <w:rPr>
                <w:sz w:val="20"/>
                <w:szCs w:val="20"/>
                <w:color w:val="auto"/>
              </w:rPr>
            </w:pPr>
            <w:r>
              <w:rPr>
                <w:rFonts w:ascii="Times New Roman" w:cs="Times New Roman" w:eastAsia="Times New Roman" w:hAnsi="Times New Roman"/>
                <w:sz w:val="11"/>
                <w:szCs w:val="11"/>
                <w:b w:val="1"/>
                <w:bCs w:val="1"/>
                <w:color w:val="auto"/>
                <w:w w:val="98"/>
              </w:rPr>
              <w:t>One Freedom Square, Reston Town Center</w:t>
            </w:r>
          </w:p>
        </w:tc>
        <w:tc>
          <w:tcPr>
            <w:tcW w:w="2280" w:type="dxa"/>
            <w:vAlign w:val="bottom"/>
          </w:tcPr>
          <w:p>
            <w:pPr>
              <w:jc w:val="center"/>
              <w:ind w:left="1326"/>
              <w:spacing w:after="0" w:line="113" w:lineRule="exact"/>
              <w:rPr>
                <w:sz w:val="20"/>
                <w:szCs w:val="20"/>
                <w:color w:val="auto"/>
              </w:rPr>
            </w:pPr>
            <w:r>
              <w:rPr>
                <w:rFonts w:ascii="Times New Roman" w:cs="Times New Roman" w:eastAsia="Times New Roman" w:hAnsi="Times New Roman"/>
                <w:sz w:val="11"/>
                <w:szCs w:val="11"/>
                <w:b w:val="1"/>
                <w:bCs w:val="1"/>
                <w:color w:val="auto"/>
                <w:w w:val="99"/>
              </w:rPr>
              <w:t>United Kingdom</w:t>
            </w:r>
          </w:p>
        </w:tc>
      </w:tr>
      <w:tr>
        <w:trPr>
          <w:trHeight w:val="112"/>
        </w:trPr>
        <w:tc>
          <w:tcPr>
            <w:tcW w:w="3380" w:type="dxa"/>
            <w:vAlign w:val="bottom"/>
          </w:tcPr>
          <w:p>
            <w:pPr>
              <w:jc w:val="center"/>
              <w:ind w:right="1326"/>
              <w:spacing w:after="0" w:line="113" w:lineRule="exact"/>
              <w:rPr>
                <w:sz w:val="20"/>
                <w:szCs w:val="20"/>
                <w:color w:val="auto"/>
              </w:rPr>
            </w:pPr>
            <w:r>
              <w:rPr>
                <w:rFonts w:ascii="Times New Roman" w:cs="Times New Roman" w:eastAsia="Times New Roman" w:hAnsi="Times New Roman"/>
                <w:sz w:val="11"/>
                <w:szCs w:val="11"/>
                <w:b w:val="1"/>
                <w:bCs w:val="1"/>
                <w:color w:val="auto"/>
                <w:w w:val="99"/>
              </w:rPr>
              <w:t>Reston, Virginia 20190-5640</w:t>
            </w:r>
          </w:p>
        </w:tc>
        <w:tc>
          <w:tcPr>
            <w:tcW w:w="2280" w:type="dxa"/>
            <w:vAlign w:val="bottom"/>
          </w:tcPr>
          <w:p>
            <w:pPr>
              <w:jc w:val="center"/>
              <w:ind w:left="1326"/>
              <w:spacing w:after="0" w:line="113" w:lineRule="exact"/>
              <w:rPr>
                <w:sz w:val="20"/>
                <w:szCs w:val="20"/>
                <w:color w:val="auto"/>
              </w:rPr>
            </w:pPr>
            <w:r>
              <w:rPr>
                <w:rFonts w:ascii="Times New Roman" w:cs="Times New Roman" w:eastAsia="Times New Roman" w:hAnsi="Times New Roman"/>
                <w:sz w:val="11"/>
                <w:szCs w:val="11"/>
                <w:b w:val="1"/>
                <w:bCs w:val="1"/>
                <w:color w:val="auto"/>
                <w:w w:val="96"/>
              </w:rPr>
              <w:t>+44 20 7583 4055</w:t>
            </w:r>
          </w:p>
        </w:tc>
      </w:tr>
      <w:tr>
        <w:trPr>
          <w:trHeight w:val="143"/>
        </w:trPr>
        <w:tc>
          <w:tcPr>
            <w:tcW w:w="3380" w:type="dxa"/>
            <w:vAlign w:val="bottom"/>
          </w:tcPr>
          <w:p>
            <w:pPr>
              <w:jc w:val="center"/>
              <w:ind w:right="1306"/>
              <w:spacing w:after="0"/>
              <w:rPr>
                <w:sz w:val="20"/>
                <w:szCs w:val="20"/>
                <w:color w:val="auto"/>
              </w:rPr>
            </w:pPr>
            <w:r>
              <w:rPr>
                <w:rFonts w:ascii="Times New Roman" w:cs="Times New Roman" w:eastAsia="Times New Roman" w:hAnsi="Times New Roman"/>
                <w:sz w:val="11"/>
                <w:szCs w:val="11"/>
                <w:b w:val="1"/>
                <w:bCs w:val="1"/>
                <w:color w:val="auto"/>
                <w:w w:val="98"/>
              </w:rPr>
              <w:t>+1 703 456 8000</w:t>
            </w:r>
          </w:p>
        </w:tc>
        <w:tc>
          <w:tcPr>
            <w:tcW w:w="228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122555</wp:posOffset>
            </wp:positionV>
            <wp:extent cx="11087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86" w:lineRule="exact"/>
        <w:rPr>
          <w:sz w:val="24"/>
          <w:szCs w:val="24"/>
          <w:color w:val="auto"/>
        </w:rPr>
      </w:pPr>
    </w:p>
    <w:p>
      <w:pPr>
        <w:ind w:left="14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32" w:lineRule="exact"/>
        <w:rPr>
          <w:sz w:val="24"/>
          <w:szCs w:val="24"/>
          <w:color w:val="auto"/>
        </w:rPr>
      </w:pPr>
    </w:p>
    <w:p>
      <w:pPr>
        <w:ind w:left="1480" w:right="559"/>
        <w:spacing w:after="0" w:line="141"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66" w:lineRule="exact"/>
        <w:rPr>
          <w:sz w:val="24"/>
          <w:szCs w:val="24"/>
          <w:color w:val="auto"/>
        </w:rPr>
      </w:pPr>
    </w:p>
    <w:p>
      <w:pPr>
        <w:ind w:left="1480" w:right="599"/>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6" w:lineRule="exact"/>
        <w:rPr>
          <w:sz w:val="24"/>
          <w:szCs w:val="24"/>
          <w:color w:val="auto"/>
        </w:rPr>
      </w:pPr>
    </w:p>
    <w:p>
      <w:pPr>
        <w:ind w:left="1480" w:right="599"/>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76" w:lineRule="exact"/>
        <w:rPr>
          <w:sz w:val="24"/>
          <w:szCs w:val="24"/>
          <w:color w:val="auto"/>
        </w:rPr>
      </w:pPr>
    </w:p>
    <w:p>
      <w:pPr>
        <w:ind w:left="1480" w:right="359"/>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66" w:lineRule="exact"/>
        <w:rPr>
          <w:sz w:val="24"/>
          <w:szCs w:val="24"/>
          <w:color w:val="auto"/>
        </w:rPr>
      </w:pPr>
    </w:p>
    <w:p>
      <w:pPr>
        <w:ind w:left="1480" w:right="399"/>
        <w:spacing w:after="0" w:line="141"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76" w:lineRule="exact"/>
        <w:rPr>
          <w:sz w:val="24"/>
          <w:szCs w:val="24"/>
          <w:color w:val="auto"/>
        </w:rPr>
      </w:pPr>
    </w:p>
    <w:p>
      <w:pPr>
        <w:ind w:left="1480" w:right="519"/>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480" w:type="dxa"/>
        <w:tblCellMar>
          <w:top w:w="0" w:type="dxa"/>
          <w:left w:w="0" w:type="dxa"/>
          <w:bottom w:w="0" w:type="dxa"/>
          <w:right w:w="0" w:type="dxa"/>
        </w:tblCellMar>
      </w:tblPr>
      <w:tr>
        <w:trPr>
          <w:trHeight w:val="174"/>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2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Accelerated filer</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4"/>
        </w:trPr>
        <w:tc>
          <w:tcPr>
            <w:tcW w:w="12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392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920" w:type="dxa"/>
            <w:vAlign w:val="bottom"/>
          </w:tcPr>
          <w:p>
            <w:pPr>
              <w:ind w:left="2480"/>
              <w:spacing w:after="0"/>
              <w:rPr>
                <w:sz w:val="20"/>
                <w:szCs w:val="20"/>
                <w:color w:val="auto"/>
              </w:rPr>
            </w:pPr>
            <w:r>
              <w:rPr>
                <w:rFonts w:ascii="Times New Roman" w:cs="Times New Roman" w:eastAsia="Times New Roman" w:hAnsi="Times New Roman"/>
                <w:sz w:val="11"/>
                <w:szCs w:val="11"/>
                <w:color w:val="auto"/>
              </w:rPr>
              <w:t>Emerging growth company</w:t>
            </w:r>
          </w:p>
        </w:tc>
        <w:tc>
          <w:tcPr>
            <w:tcW w:w="320" w:type="dxa"/>
            <w:vAlign w:val="bottom"/>
          </w:tcPr>
          <w:p>
            <w:pPr>
              <w:ind w:left="2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6" w:lineRule="exact"/>
        <w:rPr>
          <w:sz w:val="24"/>
          <w:szCs w:val="24"/>
          <w:color w:val="auto"/>
        </w:rPr>
      </w:pPr>
    </w:p>
    <w:p>
      <w:pPr>
        <w:ind w:left="1480" w:right="619"/>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52705</wp:posOffset>
            </wp:positionV>
            <wp:extent cx="52914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941070</wp:posOffset>
            </wp:positionH>
            <wp:positionV relativeFrom="paragraph">
              <wp:posOffset>85090</wp:posOffset>
            </wp:positionV>
            <wp:extent cx="52914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1455"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1480" w:type="dxa"/>
        <w:tblCellMar>
          <w:top w:w="0" w:type="dxa"/>
          <w:left w:w="0" w:type="dxa"/>
          <w:bottom w:w="0" w:type="dxa"/>
          <w:right w:w="0" w:type="dxa"/>
        </w:tblCellMar>
      </w:tblPr>
      <w:tr>
        <w:trPr>
          <w:trHeight w:val="79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4338"/>
                <w:w w:val="98"/>
              </w:rPr>
              <w:t>Securities and</w:t>
            </w:r>
          </w:p>
        </w:tc>
        <w:tc>
          <w:tcPr>
            <w:tcW w:w="220" w:type="dxa"/>
            <w:vAlign w:val="bottom"/>
            <w:textDirection w:val="btLr"/>
          </w:tcPr>
          <w:p>
            <w:pPr>
              <w:ind w:left="21"/>
              <w:spacing w:after="0"/>
              <w:rPr>
                <w:sz w:val="20"/>
                <w:szCs w:val="20"/>
                <w:color w:val="auto"/>
              </w:rPr>
            </w:pPr>
            <w:r>
              <w:rPr>
                <w:rFonts w:ascii="Arial" w:cs="Arial" w:eastAsia="Arial" w:hAnsi="Arial"/>
                <w:sz w:val="11"/>
                <w:szCs w:val="11"/>
                <w:b w:val="1"/>
                <w:bCs w:val="1"/>
                <w:color w:val="FF4338"/>
                <w:w w:val="99"/>
              </w:rPr>
              <w:t>state where the</w:t>
            </w:r>
          </w:p>
        </w:tc>
      </w:tr>
      <w:tr>
        <w:trPr>
          <w:trHeight w:val="495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4338"/>
                <w:w w:val="98"/>
              </w:rPr>
              <w:t>may be changed. We may not sell these securities until the registration statement filed with the</w:t>
            </w:r>
          </w:p>
        </w:tc>
        <w:tc>
          <w:tcPr>
            <w:tcW w:w="220" w:type="dxa"/>
            <w:vAlign w:val="bottom"/>
            <w:textDirection w:val="btLr"/>
          </w:tcPr>
          <w:p>
            <w:pPr>
              <w:ind w:left="21"/>
              <w:spacing w:after="0"/>
              <w:rPr>
                <w:sz w:val="20"/>
                <w:szCs w:val="20"/>
                <w:color w:val="auto"/>
              </w:rPr>
            </w:pPr>
            <w:r>
              <w:rPr>
                <w:rFonts w:ascii="Arial" w:cs="Arial" w:eastAsia="Arial" w:hAnsi="Arial"/>
                <w:sz w:val="11"/>
                <w:szCs w:val="11"/>
                <w:b w:val="1"/>
                <w:bCs w:val="1"/>
                <w:color w:val="FF4338"/>
                <w:w w:val="99"/>
              </w:rPr>
              <w:t>not an offer to sell these securities and it is not soliciting an offer to buy these securities in any</w:t>
            </w:r>
          </w:p>
        </w:tc>
      </w:tr>
      <w:tr>
        <w:trPr>
          <w:trHeight w:val="2842"/>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F4338"/>
                <w:w w:val="98"/>
              </w:rPr>
              <w:t>The information in this prospectus is not complete and</w:t>
            </w:r>
          </w:p>
        </w:tc>
        <w:tc>
          <w:tcPr>
            <w:tcW w:w="220" w:type="dxa"/>
            <w:vAlign w:val="bottom"/>
            <w:textDirection w:val="btLr"/>
          </w:tcPr>
          <w:p>
            <w:pPr>
              <w:ind w:left="105"/>
              <w:spacing w:after="0"/>
              <w:rPr>
                <w:sz w:val="20"/>
                <w:szCs w:val="20"/>
                <w:color w:val="auto"/>
              </w:rPr>
            </w:pPr>
            <w:r>
              <w:rPr>
                <w:rFonts w:ascii="Arial" w:cs="Arial" w:eastAsia="Arial" w:hAnsi="Arial"/>
                <w:sz w:val="10"/>
                <w:szCs w:val="10"/>
                <w:b w:val="1"/>
                <w:bCs w:val="1"/>
                <w:color w:val="FF4338"/>
                <w:w w:val="73"/>
              </w:rPr>
              <w:t>Exchange Commission is effective. This prospectus isofferorsaleisnotpermitted.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FF4338"/>
        </w:rPr>
        <w:t>SUBJECT TO COMPLETION, 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-577215</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128905</wp:posOffset>
            </wp:positionV>
            <wp:extent cx="1160780" cy="272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0780" cy="27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16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Ordinary Shares</w:t>
      </w:r>
    </w:p>
    <w:p>
      <w:pPr>
        <w:spacing w:after="0" w:line="30"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American Depositary Shares representing Ordinary Shares</w:t>
      </w:r>
    </w:p>
    <w:p>
      <w:pPr>
        <w:spacing w:after="0" w:line="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170180</wp:posOffset>
            </wp:positionV>
            <wp:extent cx="9404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0435" cy="63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1159" w:firstLine="281"/>
        <w:spacing w:after="0" w:line="250" w:lineRule="auto"/>
        <w:rPr>
          <w:sz w:val="20"/>
          <w:szCs w:val="20"/>
          <w:color w:val="auto"/>
        </w:rPr>
      </w:pPr>
      <w:r>
        <w:rPr>
          <w:rFonts w:ascii="Times New Roman" w:cs="Times New Roman" w:eastAsia="Times New Roman" w:hAnsi="Times New Roman"/>
          <w:sz w:val="14"/>
          <w:szCs w:val="14"/>
          <w:color w:val="auto"/>
        </w:rPr>
        <w:t>This prospectus will allow us to issue, from time to time at prices and on terms to be determined at or prior to the time of the offering, up to $150,000,000 of any combination of the securities described in this prospectus and any prospectus supplement, either individually or in units. We may also offer American Depositary Shares, or ADSs, representing ordinary shares upon conversion of or exchange for the debt securities or upon the exercise of the warrants.</w:t>
      </w:r>
    </w:p>
    <w:p>
      <w:pPr>
        <w:spacing w:after="0" w:line="146" w:lineRule="exact"/>
        <w:rPr>
          <w:sz w:val="20"/>
          <w:szCs w:val="20"/>
          <w:color w:val="auto"/>
        </w:rPr>
      </w:pPr>
    </w:p>
    <w:p>
      <w:pPr>
        <w:ind w:right="1219" w:firstLine="281"/>
        <w:spacing w:after="0" w:line="247" w:lineRule="auto"/>
        <w:rPr>
          <w:sz w:val="20"/>
          <w:szCs w:val="20"/>
          <w:color w:val="auto"/>
        </w:rPr>
      </w:pPr>
      <w:r>
        <w:rPr>
          <w:rFonts w:ascii="Times New Roman" w:cs="Times New Roman" w:eastAsia="Times New Roman" w:hAnsi="Times New Roman"/>
          <w:sz w:val="14"/>
          <w:szCs w:val="14"/>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50" w:lineRule="exact"/>
        <w:rPr>
          <w:sz w:val="20"/>
          <w:szCs w:val="20"/>
          <w:color w:val="auto"/>
        </w:rPr>
      </w:pPr>
    </w:p>
    <w:p>
      <w:pPr>
        <w:ind w:right="1039" w:firstLine="281"/>
        <w:spacing w:after="0" w:line="297" w:lineRule="auto"/>
        <w:rPr>
          <w:sz w:val="20"/>
          <w:szCs w:val="20"/>
          <w:color w:val="auto"/>
        </w:rPr>
      </w:pPr>
      <w:r>
        <w:rPr>
          <w:rFonts w:ascii="Times New Roman" w:cs="Times New Roman" w:eastAsia="Times New Roman" w:hAnsi="Times New Roman"/>
          <w:sz w:val="12"/>
          <w:szCs w:val="12"/>
          <w:color w:val="auto"/>
        </w:rPr>
        <w:t>Our securities may be sold directly by us to you, through agents designated from time to time or to or through underwriters or dealers.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19" w:lineRule="exact"/>
        <w:rPr>
          <w:sz w:val="20"/>
          <w:szCs w:val="20"/>
          <w:color w:val="auto"/>
        </w:rPr>
      </w:pPr>
    </w:p>
    <w:p>
      <w:pPr>
        <w:ind w:right="1199" w:firstLine="281"/>
        <w:spacing w:after="0" w:line="264" w:lineRule="auto"/>
        <w:rPr>
          <w:sz w:val="20"/>
          <w:szCs w:val="20"/>
          <w:color w:val="auto"/>
        </w:rPr>
      </w:pPr>
      <w:r>
        <w:rPr>
          <w:rFonts w:ascii="Times New Roman" w:cs="Times New Roman" w:eastAsia="Times New Roman" w:hAnsi="Times New Roman"/>
          <w:sz w:val="14"/>
          <w:szCs w:val="14"/>
          <w:color w:val="auto"/>
        </w:rPr>
        <w:t>Our ADSs are traded on the Nasdaq Global Select Market, or Nasdaq, under the symbol “AUTL.” On April 9, 2026, the closing sale price of our ADSs was $1.47 per ADS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165735</wp:posOffset>
            </wp:positionV>
            <wp:extent cx="9404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0435" cy="6350"/>
                    </a:xfrm>
                    <a:prstGeom prst="rect">
                      <a:avLst/>
                    </a:prstGeom>
                    <a:noFill/>
                  </pic:spPr>
                </pic:pic>
              </a:graphicData>
            </a:graphic>
          </wp:anchor>
        </w:drawing>
      </w:r>
    </w:p>
    <w:p>
      <w:pPr>
        <w:spacing w:after="0" w:line="390" w:lineRule="exact"/>
        <w:rPr>
          <w:sz w:val="20"/>
          <w:szCs w:val="20"/>
          <w:color w:val="auto"/>
        </w:rPr>
      </w:pPr>
    </w:p>
    <w:p>
      <w:pPr>
        <w:ind w:right="999" w:firstLine="281"/>
        <w:spacing w:after="0" w:line="246"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Before deciding whether to invest in our securities, you should consider carefully the risks that we have described on page 11 of this prospectus under the caption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and under the caption “Risk Factors” in our Annual Report on Form 10-K for the fiscal year ended December 31, 2025, which is incorporated by reference into this prospectus. We may also include specific risk factors in supplements to this prospectus under the caption “Risk Factors.” This prospectus may not be used to sell our securities unless accompanied by a prospectus supplement.</w:t>
      </w:r>
    </w:p>
    <w:p>
      <w:pPr>
        <w:spacing w:after="0" w:line="138" w:lineRule="exact"/>
        <w:rPr>
          <w:sz w:val="20"/>
          <w:szCs w:val="20"/>
          <w:color w:val="auto"/>
        </w:rPr>
      </w:pPr>
    </w:p>
    <w:p>
      <w:pPr>
        <w:ind w:right="1079" w:firstLine="281"/>
        <w:spacing w:after="0" w:line="25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161925</wp:posOffset>
            </wp:positionV>
            <wp:extent cx="9404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0435" cy="6350"/>
                    </a:xfrm>
                    <a:prstGeom prst="rect">
                      <a:avLst/>
                    </a:prstGeom>
                    <a:noFill/>
                  </pic:spPr>
                </pic:pic>
              </a:graphicData>
            </a:graphic>
          </wp:anchor>
        </w:drawing>
      </w:r>
    </w:p>
    <w:p>
      <w:pPr>
        <w:spacing w:after="0" w:line="39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10, 2026.</w:t>
      </w:r>
    </w:p>
    <w:p>
      <w:pPr>
        <w:sectPr>
          <w:pgSz w:w="11900" w:h="16838" w:orient="portrait"/>
          <w:cols w:equalWidth="0" w:num="2">
            <w:col w:w="1820" w:space="320"/>
            <w:col w:w="8019"/>
          </w:cols>
          <w:pgMar w:left="300" w:top="3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6"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6180" w:type="dxa"/>
            <w:vAlign w:val="bottom"/>
            <w:gridSpan w:val="18"/>
          </w:tcPr>
          <w:p>
            <w:pPr>
              <w:spacing w:after="0" w:line="145" w:lineRule="exact"/>
              <w:rPr>
                <w:sz w:val="20"/>
                <w:szCs w:val="20"/>
                <w:color w:val="auto"/>
              </w:rPr>
            </w:pPr>
            <w:r>
              <w:rPr>
                <w:rFonts w:ascii="Times New Roman" w:cs="Times New Roman" w:eastAsia="Times New Roman" w:hAnsi="Times New Roman"/>
                <w:sz w:val="14"/>
                <w:szCs w:val="14"/>
                <w:color w:val="0000EE"/>
              </w:rPr>
              <w:t>ABOUT THIS PROSPECTUS</w:t>
            </w:r>
          </w:p>
        </w:tc>
        <w:tc>
          <w:tcPr>
            <w:tcW w:w="2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43"/>
        </w:trPr>
        <w:tc>
          <w:tcPr>
            <w:tcW w:w="4040" w:type="dxa"/>
            <w:vAlign w:val="bottom"/>
            <w:tcBorders>
              <w:bottom w:val="single" w:sz="8" w:color="0000EE"/>
            </w:tcBorders>
            <w:gridSpan w:val="16"/>
          </w:tcPr>
          <w:p>
            <w:pPr>
              <w:spacing w:after="0" w:line="14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2140" w:type="dxa"/>
            <w:vAlign w:val="bottom"/>
            <w:gridSpan w:val="2"/>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158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5"/>
              </w:rPr>
              <w:t>PROSPECTUS SUMMARY</w:t>
            </w:r>
          </w:p>
        </w:tc>
        <w:tc>
          <w:tcPr>
            <w:tcW w:w="4600" w:type="dxa"/>
            <w:vAlign w:val="bottom"/>
            <w:gridSpan w:val="10"/>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3"/>
        </w:trPr>
        <w:tc>
          <w:tcPr>
            <w:tcW w:w="61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43"/>
        </w:trPr>
        <w:tc>
          <w:tcPr>
            <w:tcW w:w="120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4980" w:type="dxa"/>
            <w:vAlign w:val="bottom"/>
            <w:gridSpan w:val="13"/>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w:t>
            </w:r>
          </w:p>
        </w:tc>
      </w:tr>
      <w:tr>
        <w:trPr>
          <w:trHeight w:val="143"/>
        </w:trPr>
        <w:tc>
          <w:tcPr>
            <w:tcW w:w="61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w:t>
            </w: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43"/>
        </w:trPr>
        <w:tc>
          <w:tcPr>
            <w:tcW w:w="61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DESCRIPTION OF SHARE CAPITAL AND ARTICLES OF ASSOCIATION</w:t>
            </w: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w:t>
            </w:r>
          </w:p>
        </w:tc>
      </w:tr>
      <w:tr>
        <w:trPr>
          <w:trHeight w:val="143"/>
        </w:trPr>
        <w:tc>
          <w:tcPr>
            <w:tcW w:w="4300" w:type="dxa"/>
            <w:vAlign w:val="bottom"/>
            <w:tcBorders>
              <w:top w:val="single" w:sz="8" w:color="0000EE"/>
            </w:tcBorders>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DESCRIPTION OF AMERICAN DEPOSITARY SHARES</w:t>
            </w:r>
          </w:p>
        </w:tc>
        <w:tc>
          <w:tcPr>
            <w:tcW w:w="1880" w:type="dxa"/>
            <w:vAlign w:val="bottom"/>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r>
      <w:tr>
        <w:trPr>
          <w:trHeight w:val="143"/>
        </w:trPr>
        <w:tc>
          <w:tcPr>
            <w:tcW w:w="3260" w:type="dxa"/>
            <w:vAlign w:val="bottom"/>
            <w:tcBorders>
              <w:top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920" w:type="dxa"/>
            <w:vAlign w:val="bottom"/>
            <w:gridSpan w:val="4"/>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45</w:t>
            </w:r>
          </w:p>
        </w:tc>
      </w:tr>
      <w:tr>
        <w:trPr>
          <w:trHeight w:val="143"/>
        </w:trPr>
        <w:tc>
          <w:tcPr>
            <w:tcW w:w="1880" w:type="dxa"/>
            <w:vAlign w:val="bottom"/>
            <w:tcBorders>
              <w:top w:val="single" w:sz="8" w:color="0000EE"/>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5"/>
              </w:rPr>
              <w:t>DESCRIPTION OF WARRANTS</w:t>
            </w:r>
          </w:p>
        </w:tc>
        <w:tc>
          <w:tcPr>
            <w:tcW w:w="400" w:type="dxa"/>
            <w:vAlign w:val="bottom"/>
            <w:tcBorders>
              <w:top w:val="single" w:sz="8" w:color="0000EE"/>
            </w:tcBorders>
          </w:tcPr>
          <w:p>
            <w:pPr>
              <w:spacing w:after="0"/>
              <w:rPr>
                <w:sz w:val="12"/>
                <w:szCs w:val="12"/>
                <w:color w:val="auto"/>
              </w:rPr>
            </w:pPr>
          </w:p>
        </w:tc>
        <w:tc>
          <w:tcPr>
            <w:tcW w:w="3900" w:type="dxa"/>
            <w:vAlign w:val="bottom"/>
            <w:gridSpan w:val="7"/>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52</w:t>
            </w:r>
          </w:p>
        </w:tc>
      </w:tr>
      <w:tr>
        <w:trPr>
          <w:trHeight w:val="143"/>
        </w:trPr>
        <w:tc>
          <w:tcPr>
            <w:tcW w:w="68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1"/>
              </w:rPr>
              <w:t>TAXATION</w:t>
            </w:r>
          </w:p>
        </w:tc>
        <w:tc>
          <w:tcPr>
            <w:tcW w:w="5500" w:type="dxa"/>
            <w:vAlign w:val="bottom"/>
            <w:gridSpan w:val="16"/>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53</w:t>
            </w:r>
          </w:p>
        </w:tc>
      </w:tr>
      <w:tr>
        <w:trPr>
          <w:trHeight w:val="143"/>
        </w:trPr>
        <w:tc>
          <w:tcPr>
            <w:tcW w:w="11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5080" w:type="dxa"/>
            <w:vAlign w:val="bottom"/>
            <w:gridSpan w:val="14"/>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54</w:t>
            </w:r>
          </w:p>
        </w:tc>
      </w:tr>
      <w:tr>
        <w:trPr>
          <w:trHeight w:val="143"/>
        </w:trPr>
        <w:tc>
          <w:tcPr>
            <w:tcW w:w="58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5600" w:type="dxa"/>
            <w:vAlign w:val="bottom"/>
            <w:gridSpan w:val="17"/>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54</w:t>
            </w:r>
          </w:p>
        </w:tc>
      </w:tr>
      <w:tr>
        <w:trPr>
          <w:trHeight w:val="143"/>
        </w:trPr>
        <w:tc>
          <w:tcPr>
            <w:tcW w:w="61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MATERIAL CHANGES</w:t>
            </w: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54</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43"/>
        </w:trPr>
        <w:tc>
          <w:tcPr>
            <w:tcW w:w="3780" w:type="dxa"/>
            <w:vAlign w:val="bottom"/>
            <w:tcBorders>
              <w:bottom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w w:val="96"/>
              </w:rPr>
              <w:t>SERVICE OF PROCESS AND ENFORCEMENT OF LIABILITIES</w:t>
            </w:r>
          </w:p>
        </w:tc>
        <w:tc>
          <w:tcPr>
            <w:tcW w:w="2400" w:type="dxa"/>
            <w:vAlign w:val="bottom"/>
            <w:gridSpan w:val="3"/>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55</w:t>
            </w:r>
          </w:p>
        </w:tc>
      </w:tr>
      <w:tr>
        <w:trPr>
          <w:trHeight w:val="143"/>
        </w:trPr>
        <w:tc>
          <w:tcPr>
            <w:tcW w:w="6180" w:type="dxa"/>
            <w:vAlign w:val="bottom"/>
            <w:gridSpan w:val="18"/>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r>
      <w:tr>
        <w:trPr>
          <w:trHeight w:val="20"/>
        </w:trPr>
        <w:tc>
          <w:tcPr>
            <w:tcW w:w="2880" w:type="dxa"/>
            <w:vAlign w:val="bottom"/>
            <w:gridSpan w:val="1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43"/>
        </w:trPr>
        <w:tc>
          <w:tcPr>
            <w:tcW w:w="322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INCORPORATION OF DOCUMENTS BY REFERENCE</w:t>
            </w:r>
          </w:p>
        </w:tc>
        <w:tc>
          <w:tcPr>
            <w:tcW w:w="2960" w:type="dxa"/>
            <w:vAlign w:val="bottom"/>
            <w:gridSpan w:val="5"/>
          </w:tcPr>
          <w:p>
            <w:pPr>
              <w:spacing w:after="0"/>
              <w:rPr>
                <w:sz w:val="12"/>
                <w:szCs w:val="12"/>
                <w:color w:val="auto"/>
              </w:rPr>
            </w:pPr>
          </w:p>
        </w:tc>
        <w:tc>
          <w:tcPr>
            <w:tcW w:w="2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58</w:t>
            </w: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0" w:lineRule="exact"/>
        <w:rPr>
          <w:sz w:val="20"/>
          <w:szCs w:val="20"/>
          <w:color w:val="auto"/>
        </w:rPr>
      </w:pPr>
    </w:p>
    <w:p>
      <w:pPr>
        <w:jc w:val="both"/>
        <w:ind w:left="1480" w:right="439" w:firstLine="333"/>
        <w:spacing w:after="0" w:line="316" w:lineRule="auto"/>
        <w:rPr>
          <w:sz w:val="20"/>
          <w:szCs w:val="20"/>
          <w:color w:val="auto"/>
        </w:rPr>
      </w:pPr>
      <w:r>
        <w:rPr>
          <w:rFonts w:ascii="Times New Roman" w:cs="Times New Roman" w:eastAsia="Times New Roman" w:hAnsi="Times New Roman"/>
          <w:sz w:val="12"/>
          <w:szCs w:val="12"/>
          <w:color w:val="auto"/>
        </w:rPr>
        <w:t>This prospectus is part of a registration statement on Form S-3 that we have filed with the Securities and Exchange Commission, or SEC, using a “shelf” registration process. Under this shelf registration statement, we may, from time to time, offer and sell, either individually or in combination, in one or more offerings, any combination of the securities described in this prospectus, with a total aggregate offering price of up to $150,000,000.</w:t>
      </w:r>
    </w:p>
    <w:p>
      <w:pPr>
        <w:spacing w:after="0" w:line="109"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prospectuses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by Reference,” before buying any of the securities being offered.</w:t>
      </w:r>
    </w:p>
    <w:p>
      <w:pPr>
        <w:spacing w:after="0" w:line="150" w:lineRule="exact"/>
        <w:rPr>
          <w:sz w:val="20"/>
          <w:szCs w:val="20"/>
          <w:color w:val="auto"/>
        </w:rPr>
      </w:pPr>
    </w:p>
    <w:p>
      <w:pPr>
        <w:ind w:left="1480" w:right="379" w:firstLine="333"/>
        <w:spacing w:after="0" w:line="292" w:lineRule="auto"/>
        <w:rPr>
          <w:sz w:val="20"/>
          <w:szCs w:val="20"/>
          <w:color w:val="auto"/>
        </w:rPr>
      </w:pPr>
      <w:r>
        <w:rPr>
          <w:rFonts w:ascii="Times New Roman" w:cs="Times New Roman" w:eastAsia="Times New Roman" w:hAnsi="Times New Roman"/>
          <w:sz w:val="12"/>
          <w:szCs w:val="12"/>
          <w:color w:val="auto"/>
        </w:rPr>
        <w:t>We have not authorized any other person to provide you with any information or to make any representations other than those contained in, or incorporated by reference into, this prospectus, any related prospectus supplement and any free writing prospectuses prepared by or on behalf of us or to which we have referred you. We take no responsibility for, and can provide no assurance as to the reliability of, any other information that others may give you. You should assume that the information appearing in this prospectus, any related prospectus supplement and the documents incorporated by reference into this prospectus, any related prospectus supplement and in any free writing prospectuses that we may authorize for use in connection with this offering, is accurate only as of the date of those respective documents. Our business, financial condition, results of operations and prospects may have changed since those dates. You should read this prospectus, any related prospectus supplement, the documents incorporated by reference into this prospectus, and any free writing prospectuses that we may authorize for use in connection with this offering, in their entirety before making an investment decision. You should also read and consider the information in the documents to which we have referred you in the sections of this prospectus captioned “Where You Can Find Additional Information” and “Incorporation of Certain Documents by Reference.”</w:t>
      </w:r>
    </w:p>
    <w:p>
      <w:pPr>
        <w:spacing w:after="0" w:line="286" w:lineRule="exact"/>
        <w:rPr>
          <w:sz w:val="20"/>
          <w:szCs w:val="20"/>
          <w:color w:val="auto"/>
        </w:rPr>
      </w:pPr>
    </w:p>
    <w:p>
      <w:pPr>
        <w:jc w:val="both"/>
        <w:ind w:left="1480" w:right="399" w:firstLine="333"/>
        <w:spacing w:after="0" w:line="289" w:lineRule="auto"/>
        <w:rPr>
          <w:sz w:val="20"/>
          <w:szCs w:val="20"/>
          <w:color w:val="auto"/>
        </w:rPr>
      </w:pPr>
      <w:r>
        <w:rPr>
          <w:rFonts w:ascii="Times New Roman" w:cs="Times New Roman" w:eastAsia="Times New Roman" w:hAnsi="Times New Roman"/>
          <w:sz w:val="12"/>
          <w:szCs w:val="12"/>
          <w:color w:val="auto"/>
        </w:rPr>
        <w:t>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We are offering to sell, and seeking offers to buy, our securities only in jurisdictions where offers and sales are permitted. The distribution of this prospectus and any related prospectus supplement or free writing prospectuses and the offering of our securities in certain jurisdictions may be restricted by law.</w:t>
      </w:r>
    </w:p>
    <w:p>
      <w:pPr>
        <w:spacing w:after="0" w:line="1" w:lineRule="exact"/>
        <w:rPr>
          <w:sz w:val="20"/>
          <w:szCs w:val="20"/>
          <w:color w:val="auto"/>
        </w:rPr>
      </w:pPr>
    </w:p>
    <w:p>
      <w:pPr>
        <w:ind w:left="1480" w:right="419"/>
        <w:spacing w:after="0" w:line="295" w:lineRule="auto"/>
        <w:rPr>
          <w:sz w:val="20"/>
          <w:szCs w:val="20"/>
          <w:color w:val="auto"/>
        </w:rPr>
      </w:pPr>
      <w:r>
        <w:rPr>
          <w:rFonts w:ascii="Times New Roman" w:cs="Times New Roman" w:eastAsia="Times New Roman" w:hAnsi="Times New Roman"/>
          <w:sz w:val="12"/>
          <w:szCs w:val="12"/>
          <w:color w:val="auto"/>
        </w:rPr>
        <w:t>Persons outside the United States who come into possession of this prospectus and any related prospectus supplement or free writing prospectuses must inform themselves about, and observe any restrictions relating to, the offering of our securities and the distribution of this prospectus and any related prospectus supplement outside the United States. This prospectus and any related prospectus supplement or free writing prospectuses does not constitute, and may not be used in connection with, an offer to sell, or a solicitation of an offer to buy, any securities offered by this prospectus and any related prospectus supplement by any person in any jurisdiction in which it is unlawful for such person to make such an offer or solicitation.</w:t>
      </w:r>
    </w:p>
    <w:p>
      <w:pPr>
        <w:spacing w:after="0" w:line="120" w:lineRule="exact"/>
        <w:rPr>
          <w:sz w:val="20"/>
          <w:szCs w:val="20"/>
          <w:color w:val="auto"/>
        </w:rPr>
      </w:pPr>
    </w:p>
    <w:p>
      <w:pPr>
        <w:ind w:left="1480" w:right="379" w:firstLine="333"/>
        <w:spacing w:after="0" w:line="316" w:lineRule="auto"/>
        <w:rPr>
          <w:sz w:val="20"/>
          <w:szCs w:val="20"/>
          <w:color w:val="auto"/>
        </w:rPr>
      </w:pPr>
      <w:r>
        <w:rPr>
          <w:rFonts w:ascii="Times New Roman" w:cs="Times New Roman" w:eastAsia="Times New Roman" w:hAnsi="Times New Roman"/>
          <w:sz w:val="12"/>
          <w:szCs w:val="12"/>
          <w:color w:val="auto"/>
        </w:rPr>
        <w:t>We obtained the industry and market data in this prospectus,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w:t>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99"/>
        <w:spacing w:after="0" w:line="250" w:lineRule="auto"/>
        <w:rPr>
          <w:sz w:val="20"/>
          <w:szCs w:val="20"/>
          <w:color w:val="auto"/>
        </w:rPr>
      </w:pPr>
      <w:r>
        <w:rPr>
          <w:rFonts w:ascii="Times New Roman" w:cs="Times New Roman" w:eastAsia="Times New Roman" w:hAnsi="Times New Roman"/>
          <w:sz w:val="14"/>
          <w:szCs w:val="14"/>
          <w:color w:val="auto"/>
        </w:rPr>
        <w:t>performance and the future performance of the industry in which we operate is necessarily subject to a high degree of uncertainty and risk due to a variety of factors, including those described in “Risk Factors” and elsewhere in this prospectus, any related prospectus supplement, documents incorporated by reference into this prospectus and any related or free writing prospectuses. These and other factors could cause results to differ materially from those expressed in the estimates made by the independent parties and by us.</w:t>
      </w:r>
    </w:p>
    <w:p>
      <w:pPr>
        <w:spacing w:after="0" w:line="146" w:lineRule="exact"/>
        <w:rPr>
          <w:sz w:val="20"/>
          <w:szCs w:val="20"/>
          <w:color w:val="auto"/>
        </w:rPr>
      </w:pPr>
    </w:p>
    <w:p>
      <w:pPr>
        <w:ind w:left="1480" w:right="479" w:firstLine="333"/>
        <w:spacing w:after="0" w:line="250" w:lineRule="auto"/>
        <w:rPr>
          <w:sz w:val="20"/>
          <w:szCs w:val="20"/>
          <w:color w:val="auto"/>
        </w:rPr>
      </w:pPr>
      <w:r>
        <w:rPr>
          <w:rFonts w:ascii="Times New Roman" w:cs="Times New Roman" w:eastAsia="Times New Roman" w:hAnsi="Times New Roman"/>
          <w:sz w:val="14"/>
          <w:szCs w:val="14"/>
          <w:color w:val="auto"/>
        </w:rPr>
        <w:t>This prospectus and any related prospectus supplement, including the information incorporated by reference into this prospectus and any related prospectus supplement, include trademarks, service marks and trade names owned by us or others. All trademarks, service marks and trade names included or incorporated by reference in this prospectus, any related prospectus supplement or any related free writing prospectuses are the property of their respective owners.</w:t>
      </w:r>
    </w:p>
    <w:p>
      <w:pPr>
        <w:spacing w:after="0" w:line="146"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Unless otherwise indicated in this prospectus, “Autolus,” “the company,” “our company,” “we,” “us” and “our” refer to Autolus Therapeutics plc and its subsidiaries.</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0" w:lineRule="exact"/>
        <w:rPr>
          <w:sz w:val="20"/>
          <w:szCs w:val="20"/>
          <w:color w:val="auto"/>
        </w:rPr>
      </w:pPr>
    </w:p>
    <w:p>
      <w:pPr>
        <w:ind w:left="1480" w:right="379" w:firstLine="333"/>
        <w:spacing w:after="0" w:line="245"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contains forward-looking statements within the meaning of Section 27A of the Securities Act of 1933, as amended, or the Securities Act, and Section 21E of the Exchange Act, that involve substantial risks and uncertainties.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These statements involve known and unknown risks, uncertainties and other important factors that may cause our actual results, levels of activity, performance or achievements to be materially different from the information expressed or implied by these forward-looking statements.</w:t>
      </w:r>
    </w:p>
    <w:p>
      <w:pPr>
        <w:spacing w:after="0" w:line="154" w:lineRule="exact"/>
        <w:rPr>
          <w:sz w:val="20"/>
          <w:szCs w:val="20"/>
          <w:color w:val="auto"/>
        </w:rPr>
      </w:pPr>
    </w:p>
    <w:p>
      <w:pPr>
        <w:ind w:left="1480" w:right="619" w:firstLine="333"/>
        <w:spacing w:after="0" w:line="250"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are based upon information available to us as of the date of this prospectus and, while we believe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75" w:lineRule="exact"/>
        <w:rPr>
          <w:sz w:val="20"/>
          <w:szCs w:val="20"/>
          <w:color w:val="auto"/>
        </w:rPr>
      </w:pPr>
    </w:p>
    <w:p>
      <w:pPr>
        <w:ind w:left="2220" w:right="459" w:hanging="334"/>
        <w:spacing w:after="0" w:line="26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therapeutic potential and expected clinical benefits of AUCATZYL/obe-cel (obecabtagene autoleucel) for adult patients with relapsed or refractory B-cell precursor acute lymphoblastic leukemia, or r/r B-ALL;</w:t>
      </w:r>
    </w:p>
    <w:p>
      <w:pPr>
        <w:spacing w:after="0" w:line="64"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revenues from AUCATZYL, which is dependent upon maintaining significant market acceptance among physicians, patients and healthcare payors;</w:t>
      </w:r>
    </w:p>
    <w:p>
      <w:pPr>
        <w:spacing w:after="0" w:line="64"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regulatory approval of AUCATZYL in the United States, or the US,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w:t>
      </w:r>
    </w:p>
    <w:p>
      <w:pPr>
        <w:spacing w:after="0" w:line="7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commercialization and marketing of AUCATZYL for adult r/r B-ALL, including expanding into additional territories and the related timing of reaching patients in such territories;</w:t>
      </w:r>
    </w:p>
    <w:p>
      <w:pPr>
        <w:spacing w:after="0" w:line="64" w:lineRule="exact"/>
        <w:rPr>
          <w:rFonts w:ascii="Times New Roman" w:cs="Times New Roman" w:eastAsia="Times New Roman" w:hAnsi="Times New Roman"/>
          <w:sz w:val="14"/>
          <w:szCs w:val="14"/>
          <w:color w:val="auto"/>
        </w:rPr>
      </w:pPr>
    </w:p>
    <w:p>
      <w:pPr>
        <w:ind w:left="2220" w:right="419" w:hanging="334"/>
        <w:spacing w:after="0" w:line="25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needs for additional financing;</w:t>
      </w:r>
    </w:p>
    <w:p>
      <w:pPr>
        <w:spacing w:after="0" w:line="94" w:lineRule="exact"/>
        <w:rPr>
          <w:rFonts w:ascii="Times New Roman" w:cs="Times New Roman" w:eastAsia="Times New Roman" w:hAnsi="Times New Roman"/>
          <w:sz w:val="14"/>
          <w:szCs w:val="14"/>
          <w:color w:val="auto"/>
        </w:rPr>
      </w:pPr>
    </w:p>
    <w:p>
      <w:pPr>
        <w:ind w:left="2220" w:right="719" w:hanging="334"/>
        <w:spacing w:after="0" w:line="26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 for AUCATZYL, including our ability to successfully recruit and retain sales and marketing personnel and to successfully build the market for AUCATZYL;</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about the willingness of healthcare providers to recommend AUCATZYL to people with adult r/r B-ALL;</w:t>
      </w:r>
    </w:p>
    <w:p>
      <w:pPr>
        <w:spacing w:after="0" w:line="9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public health crises and their effects on our operations and business, including interruption of key clinical trial activities, such as clinical trial site monitoring, access to capital, and</w:t>
      </w:r>
    </w:p>
    <w:p>
      <w:pPr>
        <w:spacing w:after="0" w:line="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539"/>
        <w:spacing w:after="0" w:line="264" w:lineRule="auto"/>
        <w:rPr>
          <w:sz w:val="20"/>
          <w:szCs w:val="20"/>
          <w:color w:val="auto"/>
        </w:rPr>
      </w:pPr>
      <w:r>
        <w:rPr>
          <w:rFonts w:ascii="Times New Roman" w:cs="Times New Roman" w:eastAsia="Times New Roman" w:hAnsi="Times New Roman"/>
          <w:sz w:val="14"/>
          <w:szCs w:val="14"/>
          <w:color w:val="auto"/>
        </w:rPr>
        <w:t>potential disruption in the operations and business of third-party manufacturers, clinical sites, contract research organizations, or CROs, other service providers and collaborators with whom we conduct business;</w:t>
      </w:r>
    </w:p>
    <w:p>
      <w:pPr>
        <w:spacing w:after="0" w:line="65" w:lineRule="exact"/>
        <w:rPr>
          <w:sz w:val="20"/>
          <w:szCs w:val="20"/>
          <w:color w:val="auto"/>
        </w:rPr>
      </w:pPr>
    </w:p>
    <w:p>
      <w:pPr>
        <w:ind w:left="2220" w:right="959" w:hanging="334"/>
        <w:spacing w:after="0" w:line="349" w:lineRule="auto"/>
        <w:tabs>
          <w:tab w:leader="none" w:pos="2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and our ability to license additional intellectual property relating to our product candidates from third parties and to comply with our existing license agreements;</w:t>
      </w:r>
    </w:p>
    <w:p>
      <w:pPr>
        <w:spacing w:after="0" w:line="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manufacture and commercialize our product candidates;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our commercial product and product candidates;</w:t>
      </w:r>
    </w:p>
    <w:p>
      <w:pPr>
        <w:spacing w:after="0" w:line="94" w:lineRule="exact"/>
        <w:rPr>
          <w:rFonts w:ascii="Times New Roman" w:cs="Times New Roman" w:eastAsia="Times New Roman" w:hAnsi="Times New Roman"/>
          <w:sz w:val="14"/>
          <w:szCs w:val="14"/>
          <w:color w:val="auto"/>
        </w:rPr>
      </w:pPr>
    </w:p>
    <w:p>
      <w:pPr>
        <w:ind w:left="2220" w:right="659" w:hanging="334"/>
        <w:spacing w:after="0" w:line="26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and approvals for our product candidates, along with regulatory developments in the US, European Union, or the EU, the United Kingdom, or the U.K., and other foreign countries;</w:t>
      </w:r>
    </w:p>
    <w:p>
      <w:pPr>
        <w:spacing w:after="0" w:line="64" w:lineRule="exact"/>
        <w:rPr>
          <w:rFonts w:ascii="Times New Roman" w:cs="Times New Roman" w:eastAsia="Times New Roman" w:hAnsi="Times New Roman"/>
          <w:sz w:val="14"/>
          <w:szCs w:val="14"/>
          <w:color w:val="auto"/>
        </w:rPr>
      </w:pPr>
    </w:p>
    <w:p>
      <w:pPr>
        <w:ind w:left="2220" w:right="559" w:hanging="334"/>
        <w:spacing w:after="0" w:line="349" w:lineRule="auto"/>
        <w:tabs>
          <w:tab w:leader="none" w:pos="2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and growth potential of the markets for our commercial product and product candidates, if approved, and the rate and degree of market acceptance of our commercial product and product candidates, including reimbursement that may be received from payors;</w:t>
      </w:r>
    </w:p>
    <w:p>
      <w:pPr>
        <w:spacing w:after="0" w:line="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for and ability to obtain additional funding, on favorable terms or at all,</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collaborate, or statements regarding our current collaborations with BioNTech SE, or BioNTech, and others;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license and option agreement with BioNTech, including our potential to receive milestone payments and royalties under the agreement;</w:t>
      </w:r>
    </w:p>
    <w:p>
      <w:pPr>
        <w:spacing w:after="0" w:line="1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collaborators with development, regulatory and commercialization expertise;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recruit and retain qualified employees and key personnel;</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scalability and commercial viability of our manufacturing methods and processes;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classified as a Passive Foreign Investment Company, or PFIC, for current and future periods;</w:t>
      </w:r>
    </w:p>
    <w:p>
      <w:pPr>
        <w:spacing w:after="0" w:line="94" w:lineRule="exact"/>
        <w:rPr>
          <w:rFonts w:ascii="Times New Roman" w:cs="Times New Roman" w:eastAsia="Times New Roman" w:hAnsi="Times New Roman"/>
          <w:sz w:val="14"/>
          <w:szCs w:val="14"/>
          <w:color w:val="auto"/>
        </w:rPr>
      </w:pPr>
    </w:p>
    <w:p>
      <w:pPr>
        <w:ind w:left="2220" w:right="499" w:hanging="334"/>
        <w:spacing w:after="0" w:line="26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costs and expenses related to our decision to voluntarily comply with certain U.S. domestic issuer reporting obligations before we are required to do so;</w:t>
      </w:r>
    </w:p>
    <w:p>
      <w:pPr>
        <w:spacing w:after="0" w:line="6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factors which may impact our financial results or future trading prices of our American Depositary Shares, or ADSs, and the impact of securities analysts’ reports on these prices; and</w:t>
      </w:r>
    </w:p>
    <w:p>
      <w:pPr>
        <w:spacing w:after="0" w:line="64" w:lineRule="exact"/>
        <w:rPr>
          <w:rFonts w:ascii="Times New Roman" w:cs="Times New Roman" w:eastAsia="Times New Roman" w:hAnsi="Times New Roman"/>
          <w:sz w:val="14"/>
          <w:szCs w:val="14"/>
          <w:color w:val="auto"/>
        </w:rPr>
      </w:pPr>
    </w:p>
    <w:p>
      <w:pPr>
        <w:ind w:left="2220" w:right="399" w:hanging="334"/>
        <w:spacing w:after="0" w:line="247"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factors discussed under the headings “Business,” “Risk Factors” and “Management’s Discussion and Analysis of Financial Condition and Results of Operations” in our most recent Annual Report on Form 10-K and in our subsequent Quarterly Reports on Form 10-Q for the quarterly periods ended subsequent to our filing of such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w:t>
      </w:r>
    </w:p>
    <w:p>
      <w:pPr>
        <w:spacing w:after="0" w:line="150" w:lineRule="exact"/>
        <w:rPr>
          <w:sz w:val="20"/>
          <w:szCs w:val="20"/>
          <w:color w:val="auto"/>
        </w:rPr>
      </w:pPr>
    </w:p>
    <w:p>
      <w:pPr>
        <w:ind w:left="1480" w:right="479" w:firstLine="333"/>
        <w:spacing w:after="0" w:line="254" w:lineRule="auto"/>
        <w:rPr>
          <w:sz w:val="20"/>
          <w:szCs w:val="20"/>
          <w:color w:val="auto"/>
        </w:rPr>
      </w:pPr>
      <w:r>
        <w:rPr>
          <w:rFonts w:ascii="Times New Roman" w:cs="Times New Roman" w:eastAsia="Times New Roman" w:hAnsi="Times New Roman"/>
          <w:sz w:val="14"/>
          <w:szCs w:val="14"/>
          <w:color w:val="auto"/>
        </w:rPr>
        <w:t>You should refer to the important factors in the cautionary statements included in this prospectus and in the other documents incorporated herein for a discussion of important factors that may cause our actual results to differ materially from those expressed or implied by our forward-looking statements. As a result of these factors,</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spacing w:after="0" w:line="246" w:lineRule="auto"/>
        <w:rPr>
          <w:sz w:val="20"/>
          <w:szCs w:val="20"/>
          <w:color w:val="auto"/>
        </w:rPr>
      </w:pPr>
      <w:r>
        <w:rPr>
          <w:rFonts w:ascii="Times New Roman" w:cs="Times New Roman" w:eastAsia="Times New Roman" w:hAnsi="Times New Roman"/>
          <w:sz w:val="14"/>
          <w:szCs w:val="14"/>
          <w:color w:val="auto"/>
        </w:rPr>
        <w:t>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 You should read this prospectus, any applicable prospectus supplement, any free writing prospectuses that we may authorize for use in connection with an offering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331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97805" cy="4331335"/>
                    </a:xfrm>
                    <a:prstGeom prst="rect">
                      <a:avLst/>
                    </a:prstGeom>
                    <a:noFill/>
                  </pic:spPr>
                </pic:pic>
              </a:graphicData>
            </a:graphic>
          </wp:anchor>
        </w:drawing>
      </w: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8" w:lineRule="exact"/>
        <w:rPr>
          <w:sz w:val="20"/>
          <w:szCs w:val="20"/>
          <w:color w:val="auto"/>
        </w:rPr>
      </w:pPr>
    </w:p>
    <w:p>
      <w:pPr>
        <w:ind w:left="1620" w:right="539" w:firstLine="322"/>
        <w:spacing w:after="0" w:line="246" w:lineRule="auto"/>
        <w:rPr>
          <w:sz w:val="20"/>
          <w:szCs w:val="20"/>
          <w:color w:val="auto"/>
        </w:rPr>
      </w:pPr>
      <w:r>
        <w:rPr>
          <w:rFonts w:ascii="Times New Roman" w:cs="Times New Roman" w:eastAsia="Times New Roman" w:hAnsi="Times New Roman"/>
          <w:sz w:val="14"/>
          <w:szCs w:val="14"/>
          <w:i w:val="1"/>
          <w:iCs w:val="1"/>
          <w:color w:val="auto"/>
        </w:rPr>
        <w:t>The following summary highlights selected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Reports on Form 10-K, Quarterly Reports on Form 10-Q, Current Reports on Form 8-K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88" w:lineRule="exact"/>
        <w:rPr>
          <w:sz w:val="20"/>
          <w:szCs w:val="20"/>
          <w:color w:val="auto"/>
        </w:rPr>
      </w:pPr>
    </w:p>
    <w:p>
      <w:pPr>
        <w:ind w:left="1620" w:right="499" w:firstLine="322"/>
        <w:spacing w:after="0" w:line="289" w:lineRule="auto"/>
        <w:rPr>
          <w:sz w:val="20"/>
          <w:szCs w:val="20"/>
          <w:color w:val="auto"/>
        </w:rPr>
      </w:pPr>
      <w:r>
        <w:rPr>
          <w:rFonts w:ascii="Times New Roman" w:cs="Times New Roman" w:eastAsia="Times New Roman" w:hAnsi="Times New Roman"/>
          <w:sz w:val="12"/>
          <w:szCs w:val="12"/>
          <w:color w:val="auto"/>
        </w:rPr>
        <w:t>We are an early commercial-stage biopharmaceutical company developing, manufacturing and delivering next-generation T cell therapies and candidates for the treatment of cancer and autoimmune diseases. Using our broad suite of proprietary and modular T cell programming technologies, we are engineering precisely targeted and controlled T cell therapies that are designed to better recognize target cells, break down their defense mechanisms and eliminate target cells. We believe our programmed T cell therapies have the potential to be best-in-class and offer patients substantial benefits over the existing standard of care, including the potential for cure in some patients. In November 2024, the United States Food and Drug Administration, or the FDA, approved our biologics license application, or BLA, for the marketing of AUCATZYL (obecabtagene autoleucel, also known as obe-cel) in the United States for the treatment of adult patients (18 years and older) with relapsed or refractory B-cell precursor acute lymphoblastic leukemia, or r/r B-ALL. The commercial launch and first sale of AUCATZYL in the United States occurred in January 2025. The United Kingdom Medicines and Healthcare products Regulatory Agency granted AUCATZYL conditional marketing authorization in April 2025. In November 2025, the National Institute for Health and Care Excellence recommended AUCATZYL for use in the National Health Service, or NHS, in England and Wales as a treatment option for adult patients (age 26 and older) with r/r B-ALL. We launched AUCATZYL in the United Kingdom in January 2026 and it is available through routine commissioning by the NHS. In July 2025, the European Commission granted marketing authorization for AUCATZYL in adult patients (age 26 and older) with r/r B-ALL. Evaluation of potential pricing and feasibility of market entry opportunities in certain European Union, or EU, countries is ongoing; however, at this time, launch in the EU is on hold and we do not anticipate any EU sales of AUCATZYL in 2026.</w:t>
      </w:r>
    </w:p>
    <w:p>
      <w:pPr>
        <w:spacing w:after="0" w:line="200" w:lineRule="exact"/>
        <w:rPr>
          <w:sz w:val="20"/>
          <w:szCs w:val="20"/>
          <w:color w:val="auto"/>
        </w:rPr>
      </w:pPr>
    </w:p>
    <w:p>
      <w:pPr>
        <w:spacing w:after="0" w:line="254" w:lineRule="exact"/>
        <w:rPr>
          <w:sz w:val="20"/>
          <w:szCs w:val="20"/>
          <w:color w:val="auto"/>
        </w:rPr>
      </w:pPr>
    </w:p>
    <w:p>
      <w:pPr>
        <w:ind w:left="1620" w:right="519" w:firstLine="322"/>
        <w:spacing w:after="0" w:line="248" w:lineRule="auto"/>
        <w:rPr>
          <w:sz w:val="20"/>
          <w:szCs w:val="20"/>
          <w:color w:val="auto"/>
        </w:rPr>
      </w:pPr>
      <w:r>
        <w:rPr>
          <w:rFonts w:ascii="Times New Roman" w:cs="Times New Roman" w:eastAsia="Times New Roman" w:hAnsi="Times New Roman"/>
          <w:sz w:val="14"/>
          <w:szCs w:val="14"/>
          <w:color w:val="auto"/>
        </w:rPr>
        <w:t>AUCATZYL is a B-lymphocyte antigen CD19 chimeric antigen receptor T cell therapy. AUCATZYL is designed with a fast target binding off-rate to minimize excessive activation of the programmed T cells. Adult r/r B- ALL is an extremely aggressive type of blood cancer with a high unmet medical need in the treatment of patients once they relapse, where historically patients suffer from poor outcomes. AUCATZYL is manufactured at our dedicated commercial manufacturing site, the Nucleus, in Stevenage, UK. We intend for the Nucleus to meet the global supply demands of AUCATZYL, with Cardinal Health serving as our commercial distribution partner in the US.</w:t>
      </w:r>
    </w:p>
    <w:p>
      <w:pPr>
        <w:spacing w:after="0" w:line="149" w:lineRule="exact"/>
        <w:rPr>
          <w:sz w:val="20"/>
          <w:szCs w:val="20"/>
          <w:color w:val="auto"/>
        </w:rPr>
      </w:pPr>
    </w:p>
    <w:p>
      <w:pPr>
        <w:ind w:left="1620" w:right="679" w:firstLine="322"/>
        <w:spacing w:after="0" w:line="305" w:lineRule="auto"/>
        <w:rPr>
          <w:sz w:val="20"/>
          <w:szCs w:val="20"/>
          <w:color w:val="auto"/>
        </w:rPr>
      </w:pPr>
      <w:r>
        <w:rPr>
          <w:rFonts w:ascii="Times New Roman" w:cs="Times New Roman" w:eastAsia="Times New Roman" w:hAnsi="Times New Roman"/>
          <w:sz w:val="12"/>
          <w:szCs w:val="12"/>
          <w:color w:val="auto"/>
        </w:rPr>
        <w:t>In addition to AUCATZYL/obe-cel for the treatment of adult r/r B-ALL, we are advancing obe-cel in other oncology indications including pediatric B-ALL and B-NHL. Data from the Phase 1b cohort of the ongoing Phase 1b/2 CATULUS trial evaluating the safety and efficacy of obe-cel in pediatric B-ALL and B-NHL patients was presented at the American Society of Hematology, or ASH Annual Meeting in December 2025. Data show the safety profile of obe-cel in pediatric patients is consistent with that previously reported in adults, with low</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435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97805" cy="4435475"/>
                    </a:xfrm>
                    <a:prstGeom prst="rect">
                      <a:avLst/>
                    </a:prstGeom>
                    <a:noFill/>
                  </pic:spPr>
                </pic:pic>
              </a:graphicData>
            </a:graphic>
          </wp:anchor>
        </w:drawing>
      </w:r>
    </w:p>
    <w:p>
      <w:pPr>
        <w:spacing w:after="0" w:line="354" w:lineRule="exact"/>
        <w:rPr>
          <w:sz w:val="20"/>
          <w:szCs w:val="20"/>
          <w:color w:val="auto"/>
        </w:rPr>
      </w:pPr>
    </w:p>
    <w:p>
      <w:pPr>
        <w:ind w:left="1620" w:right="579"/>
        <w:spacing w:after="0" w:line="287" w:lineRule="auto"/>
        <w:rPr>
          <w:sz w:val="20"/>
          <w:szCs w:val="20"/>
          <w:color w:val="auto"/>
        </w:rPr>
      </w:pPr>
      <w:r>
        <w:rPr>
          <w:rFonts w:ascii="Times New Roman" w:cs="Times New Roman" w:eastAsia="Times New Roman" w:hAnsi="Times New Roman"/>
          <w:sz w:val="12"/>
          <w:szCs w:val="12"/>
          <w:color w:val="auto"/>
        </w:rPr>
        <w:t>rates of high-grade cytokine release syndrome, or CRS, and immune effector cell-associated neurotoxicity syndrome, or ICANS. Overall response rate was high at 95%, and nearly 90% of responders had ongoing remission at data cut-off. Enrollment into the Phase 2 cohort is ongoing, and in October 2025, the FDA granted regenerative medicine advanced therapy designation to obe-cel for the treatment of pediatric patients with r/r B-ALL. Obe-cel is also being developed for the treatment of autoimmune indications, and we have initiated a Phase 1 trial in patients with severe, refractory systemic lupus erythematosus. Data from the ongoing Phase 1 CARLYSLE trial evaluating obe-cel in patients with severe refractory systemic lupus erythematosus was presented at the ASH Annual Meeting in December 2025. The data showed deep, durable responses in patients receiving the 50 million obe-cel dose level, and initial data suggest substantial early improvement in three patients dosed with obe-cel at</w:t>
      </w:r>
    </w:p>
    <w:p>
      <w:pPr>
        <w:spacing w:after="0" w:line="1" w:lineRule="exact"/>
        <w:rPr>
          <w:sz w:val="20"/>
          <w:szCs w:val="20"/>
          <w:color w:val="auto"/>
        </w:rPr>
      </w:pPr>
    </w:p>
    <w:p>
      <w:pPr>
        <w:ind w:left="1620" w:right="539"/>
        <w:spacing w:after="0" w:line="244" w:lineRule="auto"/>
        <w:rPr>
          <w:sz w:val="20"/>
          <w:szCs w:val="20"/>
          <w:color w:val="auto"/>
        </w:rPr>
      </w:pPr>
      <w:r>
        <w:rPr>
          <w:rFonts w:ascii="Times New Roman" w:cs="Times New Roman" w:eastAsia="Times New Roman" w:hAnsi="Times New Roman"/>
          <w:sz w:val="14"/>
          <w:szCs w:val="14"/>
          <w:color w:val="auto"/>
        </w:rPr>
        <w:t>100 million dose level. All patients show deep B-cell depletion after infusion, suggesting an immune reset. Nine patients were evaluable for safety, and no ICANS or high-grade CRS were observed. The company plans to advance obe-cel into a Phase 2 clinical trial in patients with severe, refractory lupus nephritis and expects to dose its first patient in Q1 2026. We are advancing obe-cel into clinical development in progressive multiple sclerosis and in October 2025, we have dosed our first patients in a Phase 1 dose escalation clinical trial.</w:t>
      </w:r>
    </w:p>
    <w:p>
      <w:pPr>
        <w:spacing w:after="0" w:line="150" w:lineRule="exact"/>
        <w:rPr>
          <w:sz w:val="20"/>
          <w:szCs w:val="20"/>
          <w:color w:val="auto"/>
        </w:rPr>
      </w:pPr>
    </w:p>
    <w:p>
      <w:pPr>
        <w:ind w:left="1620" w:right="499" w:firstLine="322"/>
        <w:spacing w:after="0" w:line="247" w:lineRule="auto"/>
        <w:rPr>
          <w:sz w:val="20"/>
          <w:szCs w:val="20"/>
          <w:color w:val="auto"/>
        </w:rPr>
      </w:pPr>
      <w:r>
        <w:rPr>
          <w:rFonts w:ascii="Times New Roman" w:cs="Times New Roman" w:eastAsia="Times New Roman" w:hAnsi="Times New Roman"/>
          <w:sz w:val="14"/>
          <w:szCs w:val="14"/>
          <w:color w:val="auto"/>
        </w:rPr>
        <w:t>Our T cell programming technologies allow us to tailor our therapies to address the specific disease we are targeting and introduce new programming modules into a patient’s T cells to give those T cells improved properties to better recognize target cells and overcome fundamental disease defense mechanisms. Cancers in particular thrive on their ability to fend off T cells by evading recognition by T cells and by establishing other defense mechanisms, such as checkpoint inhibition, and creating a hostile microenvironment. We believe our leadership in T cell programming technologies will provide us with a competitive advantage as we look to develop future generations of T cell therapies targeting hematological cancers, solid tumors and autoimmune diseases, including potential products that could have a sufficient tolerability profile to enable use in outpatient settings.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8" w:lineRule="exact"/>
        <w:rPr>
          <w:sz w:val="20"/>
          <w:szCs w:val="20"/>
          <w:color w:val="auto"/>
        </w:rPr>
      </w:pPr>
    </w:p>
    <w:p>
      <w:pPr>
        <w:ind w:left="1620" w:right="559" w:firstLine="322"/>
        <w:spacing w:after="0" w:line="294" w:lineRule="auto"/>
        <w:rPr>
          <w:sz w:val="20"/>
          <w:szCs w:val="20"/>
          <w:color w:val="auto"/>
        </w:rPr>
      </w:pPr>
      <w:r>
        <w:rPr>
          <w:rFonts w:ascii="Times New Roman" w:cs="Times New Roman" w:eastAsia="Times New Roman" w:hAnsi="Times New Roman"/>
          <w:sz w:val="12"/>
          <w:szCs w:val="12"/>
          <w:color w:val="auto"/>
        </w:rPr>
        <w:t>We are a public limited company, originally incorporated pursuant to the laws of England and Wales in February 2018 as a private company with limited liability called Autolus Therapeutics Limited. Autolus Limited was originally incorporated under the laws of England and Wales in July 2014. Pursuant to the terms of a corporate reorganization carried out in June 2018, the shareholders of Autolus Limited exchanged each of the shares held by them in Autolus Limited for the same number and class of newly issued shares of Autolus Therapeutics Limited and, as a result, Autolus Limited became a wholly owned subsidiary of Autolus Therapeutics Limited. On June 18, 2018, Autolus Therapeutics Limited re-registered as a public limited company and was renamed Autolus Therapeutics plc. On June 22, 2018, the different classes of our issued share capital were converted into a single class of ordinary shares and various classes of deferred shares, and we completed our IPO on the Nasdaq Global Select Market, or Nasdaq. Our ADSs trade on Nasdaq under the symbol “AUTL”. Our ordinary shares are not listed.</w:t>
      </w:r>
    </w:p>
    <w:p>
      <w:pPr>
        <w:spacing w:after="0" w:line="287" w:lineRule="exact"/>
        <w:rPr>
          <w:sz w:val="20"/>
          <w:szCs w:val="20"/>
          <w:color w:val="auto"/>
        </w:rPr>
      </w:pPr>
    </w:p>
    <w:p>
      <w:pPr>
        <w:ind w:left="1620" w:right="559" w:firstLine="322"/>
        <w:spacing w:after="0" w:line="248" w:lineRule="auto"/>
        <w:rPr>
          <w:sz w:val="20"/>
          <w:szCs w:val="20"/>
          <w:color w:val="auto"/>
        </w:rPr>
      </w:pPr>
      <w:r>
        <w:rPr>
          <w:rFonts w:ascii="Times New Roman" w:cs="Times New Roman" w:eastAsia="Times New Roman" w:hAnsi="Times New Roman"/>
          <w:sz w:val="14"/>
          <w:szCs w:val="14"/>
          <w:color w:val="auto"/>
        </w:rPr>
        <w:t>Our registered office and principal executive offices are located at the MediaWorks, 191 Wood Lane, White City, London W12 7FP, United Kingdom and our telephone number is +44 20 3829 6230. Our agent for service of process in the United States is Autolus Inc., 15810 Gaither Drive, Gaithersburg, Maryland, 20877. Our website address is www.autolus.com.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Implications of Being a Foreign Private Issuer</w:t>
      </w:r>
    </w:p>
    <w:p>
      <w:pPr>
        <w:spacing w:after="0" w:line="8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Although we qualify as a foreign private issuer, we have decided to voluntarily file periodic reports, such as annual reports on</w:t>
      </w:r>
    </w:p>
    <w:p>
      <w:pPr>
        <w:spacing w:after="0" w:line="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Form 10-K (including our Annual Report on Form 10-K for the fiscal year ending</w:t>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869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97805" cy="4869815"/>
                    </a:xfrm>
                    <a:prstGeom prst="rect">
                      <a:avLst/>
                    </a:prstGeom>
                    <a:noFill/>
                  </pic:spPr>
                </pic:pic>
              </a:graphicData>
            </a:graphic>
          </wp:anchor>
        </w:drawing>
      </w:r>
    </w:p>
    <w:p>
      <w:pPr>
        <w:spacing w:after="0" w:line="354" w:lineRule="exact"/>
        <w:rPr>
          <w:sz w:val="20"/>
          <w:szCs w:val="20"/>
          <w:color w:val="auto"/>
        </w:rPr>
      </w:pPr>
    </w:p>
    <w:p>
      <w:pPr>
        <w:ind w:left="1620" w:right="499"/>
        <w:spacing w:after="0" w:line="246" w:lineRule="auto"/>
        <w:rPr>
          <w:sz w:val="20"/>
          <w:szCs w:val="20"/>
          <w:color w:val="auto"/>
        </w:rPr>
      </w:pPr>
      <w:r>
        <w:rPr>
          <w:rFonts w:ascii="Times New Roman" w:cs="Times New Roman" w:eastAsia="Times New Roman" w:hAnsi="Times New Roman"/>
          <w:sz w:val="14"/>
          <w:szCs w:val="14"/>
          <w:color w:val="auto"/>
        </w:rPr>
        <w:t>December 31, 2025), quarterly reports on Form 10-Q and current reports on Form 8-K on U.S. domestic issuer forms, which are more detailed and extensive in certain respects, and which must be filed more promptly, than the forms currently available to foreign private issuers. Similarly, we have decided to file registration statements, including the registration statement on Form S-3 of which this prospectus forms a part, on U.S. domestic issuer forms. Although we have voluntarily chosen to file registration statements, periodic reports and current reports on U.S. domestic issuer forms, we maintain our status as a foreign private issuer as long as we meet the qualifications for a foreign private issuer under the Exchange Act. Accordingly, as a foreign private issuer, we remain exempt from the U.S. federal proxy rules pursuant to Section 14 of the Exchange Act and Regulations 14A and 14C thereunder, Regulation FD, and our officers, directors, and principal shareholders are not subject to the short-swing profit recovery provisions contained in Section 16 of the Exchange Act.</w:t>
      </w: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88" w:lineRule="exact"/>
        <w:rPr>
          <w:sz w:val="20"/>
          <w:szCs w:val="20"/>
          <w:color w:val="auto"/>
        </w:rPr>
      </w:pPr>
    </w:p>
    <w:p>
      <w:pPr>
        <w:ind w:left="1620" w:right="659"/>
        <w:spacing w:after="0" w:line="300" w:lineRule="auto"/>
        <w:rPr>
          <w:sz w:val="20"/>
          <w:szCs w:val="20"/>
          <w:color w:val="auto"/>
        </w:rPr>
      </w:pPr>
      <w:r>
        <w:rPr>
          <w:rFonts w:ascii="Times New Roman" w:cs="Times New Roman" w:eastAsia="Times New Roman" w:hAnsi="Times New Roman"/>
          <w:sz w:val="12"/>
          <w:szCs w:val="12"/>
          <w:color w:val="auto"/>
        </w:rPr>
        <w:t>Under this prospectus, we may offer ordinary shares, ADSs representing our ordinary shares, various series of debt securities or warrants to purchase any of such securities, either individually or in units, with a total aggregate offering price of up to $150,000,000,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46" w:lineRule="exact"/>
        <w:rPr>
          <w:sz w:val="20"/>
          <w:szCs w:val="20"/>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or sinking fund terms, if any;</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exercise prices, if any.</w:t>
      </w:r>
    </w:p>
    <w:p>
      <w:pPr>
        <w:spacing w:after="0" w:line="166" w:lineRule="exact"/>
        <w:rPr>
          <w:sz w:val="20"/>
          <w:szCs w:val="20"/>
          <w:color w:val="auto"/>
        </w:rPr>
      </w:pPr>
    </w:p>
    <w:p>
      <w:pPr>
        <w:ind w:left="1620" w:right="639"/>
        <w:spacing w:after="0" w:line="305" w:lineRule="auto"/>
        <w:rPr>
          <w:sz w:val="20"/>
          <w:szCs w:val="20"/>
          <w:color w:val="auto"/>
        </w:rPr>
      </w:pPr>
      <w:r>
        <w:rPr>
          <w:rFonts w:ascii="Times New Roman" w:cs="Times New Roman" w:eastAsia="Times New Roman" w:hAnsi="Times New Roman"/>
          <w:sz w:val="12"/>
          <w:szCs w:val="12"/>
          <w:color w:val="auto"/>
        </w:rPr>
        <w:t>The prospectus supplement, and any related free writing prospectus that we may authorize to be provided to you, also may add, update or change information contained in this prospectus or in documents we have incorporated by reference into this prospectus. However, no prospectus supplement or free writing prospectus will fundamentally change the terms that are set forth in this prospectus or offer a security that is not registered and described in this prospectus at the time of the effectiveness of the registration statement of which this prospectus is a part.</w:t>
      </w:r>
    </w:p>
    <w:p>
      <w:pPr>
        <w:spacing w:after="0" w:line="116" w:lineRule="exact"/>
        <w:rPr>
          <w:sz w:val="20"/>
          <w:szCs w:val="20"/>
          <w:color w:val="auto"/>
        </w:rPr>
      </w:pPr>
    </w:p>
    <w:p>
      <w:pPr>
        <w:ind w:left="1620" w:right="639"/>
        <w:spacing w:after="0" w:line="254" w:lineRule="auto"/>
        <w:rPr>
          <w:sz w:val="20"/>
          <w:szCs w:val="20"/>
          <w:color w:val="auto"/>
        </w:rPr>
      </w:pPr>
      <w:r>
        <w:rPr>
          <w:rFonts w:ascii="Times New Roman" w:cs="Times New Roman" w:eastAsia="Times New Roman" w:hAnsi="Times New Roman"/>
          <w:sz w:val="14"/>
          <w:szCs w:val="14"/>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71" w:lineRule="exact"/>
        <w:rPr>
          <w:sz w:val="20"/>
          <w:szCs w:val="20"/>
          <w:color w:val="auto"/>
        </w:rPr>
      </w:pPr>
    </w:p>
    <w:p>
      <w:pPr>
        <w:ind w:left="2320" w:hanging="306"/>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4" w:lineRule="exact"/>
        <w:rPr>
          <w:rFonts w:ascii="Times New Roman" w:cs="Times New Roman" w:eastAsia="Times New Roman" w:hAnsi="Times New Roman"/>
          <w:sz w:val="14"/>
          <w:szCs w:val="14"/>
          <w:color w:val="auto"/>
        </w:rPr>
      </w:pPr>
    </w:p>
    <w:p>
      <w:pPr>
        <w:ind w:left="2320" w:hanging="306"/>
        <w:spacing w:after="0"/>
        <w:tabs>
          <w:tab w:leader="none" w:pos="2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162" w:lineRule="exact"/>
        <w:rPr>
          <w:sz w:val="20"/>
          <w:szCs w:val="20"/>
          <w:color w:val="auto"/>
        </w:rPr>
      </w:pPr>
    </w:p>
    <w:p>
      <w:pPr>
        <w:ind w:left="1620" w:right="499" w:firstLine="322"/>
        <w:spacing w:after="0" w:line="270"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IT IS ACCOMPANIED BY A PROSPECTUS SUPPLEMENT.</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4033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97805" cy="4033520"/>
                    </a:xfrm>
                    <a:prstGeom prst="rect">
                      <a:avLst/>
                    </a:prstGeom>
                    <a:noFill/>
                  </pic:spPr>
                </pic:pic>
              </a:graphicData>
            </a:graphic>
          </wp:anchor>
        </w:drawing>
      </w:r>
    </w:p>
    <w:p>
      <w:pPr>
        <w:spacing w:after="0" w:line="350" w:lineRule="exact"/>
        <w:rPr>
          <w:sz w:val="20"/>
          <w:szCs w:val="20"/>
          <w:color w:val="auto"/>
        </w:rPr>
      </w:pPr>
    </w:p>
    <w:p>
      <w:pPr>
        <w:ind w:left="1620" w:right="519" w:firstLine="322"/>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Ordinary Shares and ADSs</w:t>
      </w:r>
      <w:r>
        <w:rPr>
          <w:rFonts w:ascii="Times New Roman" w:cs="Times New Roman" w:eastAsia="Times New Roman" w:hAnsi="Times New Roman"/>
          <w:sz w:val="14"/>
          <w:szCs w:val="14"/>
          <w:color w:val="auto"/>
        </w:rPr>
        <w:t>. At our annual general meeting held on June 28, 2024, our shareholders granted our directors authority to allot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shares and grant rights to subscribe for, or convert any security into, shares in the company up to a maximum aggregate nominal amount of $8,400. This authority shall expire (unless previously renewed, varied or revoked) on June 27, 2029. In addition, at our annual general meeting held on June 28, 2024, our shareholders approved the disapplication of statutory preemption rights under section 561(1) of the U.K. Companies Act 2006, or the Companies Act, for the allotment of equity securities for cash up to a maximum aggregate nominal amount of $8,400, which expires (unless previously renewed, varied or revoked) on June 27, 2029.</w:t>
      </w:r>
    </w:p>
    <w:p>
      <w:pPr>
        <w:spacing w:after="0" w:line="146" w:lineRule="exact"/>
        <w:rPr>
          <w:sz w:val="20"/>
          <w:szCs w:val="20"/>
          <w:color w:val="auto"/>
        </w:rPr>
      </w:pPr>
    </w:p>
    <w:p>
      <w:pPr>
        <w:ind w:left="1620" w:right="499"/>
        <w:spacing w:after="0" w:line="264" w:lineRule="auto"/>
        <w:rPr>
          <w:sz w:val="20"/>
          <w:szCs w:val="20"/>
          <w:color w:val="auto"/>
        </w:rPr>
      </w:pPr>
      <w:r>
        <w:rPr>
          <w:rFonts w:ascii="Times New Roman" w:cs="Times New Roman" w:eastAsia="Times New Roman" w:hAnsi="Times New Roman"/>
          <w:sz w:val="14"/>
          <w:szCs w:val="14"/>
          <w:color w:val="auto"/>
        </w:rPr>
        <w:t>Our ordinary shares have the rights and restrictions described under the section entitled “Description of Share Capital and Articles of Association— Issued Share Capital.” The following summarizes the rights of holders of our ordinary shares:</w:t>
      </w:r>
    </w:p>
    <w:p>
      <w:pPr>
        <w:spacing w:after="0" w:line="65" w:lineRule="exact"/>
        <w:rPr>
          <w:sz w:val="20"/>
          <w:szCs w:val="20"/>
          <w:color w:val="auto"/>
        </w:rPr>
      </w:pPr>
    </w:p>
    <w:p>
      <w:pPr>
        <w:ind w:left="2320" w:hanging="306"/>
        <w:spacing w:after="0"/>
        <w:tabs>
          <w:tab w:leader="none" w:pos="2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holder of our ordinary shares is entitled to one vote per ordinary share on all matters to be voted on by shareholders generally;</w:t>
      </w:r>
    </w:p>
    <w:p>
      <w:pPr>
        <w:spacing w:after="0" w:line="117" w:lineRule="exact"/>
        <w:rPr>
          <w:rFonts w:ascii="Times New Roman" w:cs="Times New Roman" w:eastAsia="Times New Roman" w:hAnsi="Times New Roman"/>
          <w:sz w:val="12"/>
          <w:szCs w:val="12"/>
          <w:color w:val="auto"/>
        </w:rPr>
      </w:pPr>
    </w:p>
    <w:p>
      <w:pPr>
        <w:ind w:left="2320" w:right="539" w:hanging="306"/>
        <w:spacing w:after="0" w:line="349" w:lineRule="auto"/>
        <w:tabs>
          <w:tab w:leader="none" w:pos="2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our ordinary shares shall be entitled to receive notice of, attend, speak and vote at our general meetings; and the holders of our ordinary shares are entitled to receive such dividends as are recommended by our directors and declared by our shareholders.</w:t>
      </w:r>
    </w:p>
    <w:p>
      <w:pPr>
        <w:spacing w:after="0" w:line="89"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4"/>
          <w:szCs w:val="14"/>
          <w:color w:val="auto"/>
        </w:rPr>
        <w:t>We are required by the Companies Act to keep a register of our shareholders. Under English law, our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146" w:lineRule="exact"/>
        <w:rPr>
          <w:sz w:val="20"/>
          <w:szCs w:val="20"/>
          <w:color w:val="auto"/>
        </w:rPr>
      </w:pPr>
    </w:p>
    <w:p>
      <w:pPr>
        <w:ind w:left="1620" w:right="759"/>
        <w:spacing w:after="0" w:line="250" w:lineRule="auto"/>
        <w:rPr>
          <w:sz w:val="20"/>
          <w:szCs w:val="20"/>
          <w:color w:val="auto"/>
        </w:rPr>
      </w:pPr>
      <w:r>
        <w:rPr>
          <w:rFonts w:ascii="Times New Roman" w:cs="Times New Roman" w:eastAsia="Times New Roman" w:hAnsi="Times New Roman"/>
          <w:sz w:val="14"/>
          <w:szCs w:val="14"/>
          <w:color w:val="auto"/>
        </w:rPr>
        <w:t>Holders of our ADSs are not treated as our shareholders and their names are therefore not entered in our share register. The depositary, the custodian or their nominees will be the holder of the shares underlying our ADSs. Holders of our ADSs have the right to receive the ordinary shares underlying their ADSs. For additional discussion of our ADSs and ADS holder rights, see the section entitled “Description of American Depositary Shares.”</w:t>
      </w:r>
    </w:p>
    <w:p>
      <w:pPr>
        <w:spacing w:after="0" w:line="142"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We may issue debt securities from time to time, in one or more series, as either senior or subordinated debt or as senior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ordinary shares, ADSs or other securities. Conversion may be mandatory or at the holder’s option and would be at prescribed conversion rates.</w:t>
      </w:r>
    </w:p>
    <w:p>
      <w:pPr>
        <w:spacing w:after="0" w:line="146"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4"/>
          <w:szCs w:val="14"/>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158115</wp:posOffset>
            </wp:positionV>
            <wp:extent cx="5297805" cy="1530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7805" cy="1530350"/>
                    </a:xfrm>
                    <a:prstGeom prst="rect">
                      <a:avLst/>
                    </a:prstGeom>
                    <a:noFill/>
                  </pic:spPr>
                </pic:pic>
              </a:graphicData>
            </a:graphic>
          </wp:anchor>
        </w:drawing>
      </w:r>
    </w:p>
    <w:p>
      <w:pPr>
        <w:spacing w:after="0" w:line="350" w:lineRule="exact"/>
        <w:rPr>
          <w:sz w:val="20"/>
          <w:szCs w:val="20"/>
          <w:color w:val="auto"/>
        </w:rPr>
      </w:pPr>
    </w:p>
    <w:p>
      <w:pPr>
        <w:ind w:left="1620" w:right="73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We may issue warrants for the purchase of ordinary shares, ordinary shares represented by ADSs, and/or debt securities from time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time in one or more series. We may issue warrants independently or together with</w:t>
      </w:r>
    </w:p>
    <w:p>
      <w:pPr>
        <w:spacing w:after="0" w:line="1" w:lineRule="exact"/>
        <w:rPr>
          <w:sz w:val="20"/>
          <w:szCs w:val="20"/>
          <w:color w:val="auto"/>
        </w:rPr>
      </w:pPr>
    </w:p>
    <w:p>
      <w:pPr>
        <w:ind w:left="1620" w:right="559"/>
        <w:spacing w:after="0" w:line="293" w:lineRule="auto"/>
        <w:rPr>
          <w:sz w:val="20"/>
          <w:szCs w:val="20"/>
          <w:color w:val="auto"/>
        </w:rPr>
      </w:pPr>
      <w:r>
        <w:rPr>
          <w:rFonts w:ascii="Times New Roman" w:cs="Times New Roman" w:eastAsia="Times New Roman" w:hAnsi="Times New Roman"/>
          <w:sz w:val="12"/>
          <w:szCs w:val="12"/>
          <w:color w:val="auto"/>
        </w:rPr>
        <w:t>ordinary shares, ordinary shares represented by ADSs and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284" w:lineRule="exact"/>
        <w:rPr>
          <w:sz w:val="20"/>
          <w:szCs w:val="20"/>
          <w:color w:val="auto"/>
        </w:rPr>
      </w:pPr>
    </w:p>
    <w:p>
      <w:pPr>
        <w:ind w:left="1620" w:right="579"/>
        <w:spacing w:after="0" w:line="254"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80" w:right="379" w:firstLine="333"/>
        <w:spacing w:after="0" w:line="246"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fiscal year ended December 31, 2025, as may be updated by our subsequent Quarterly Reports on Form 10-Q or in other subsequent filings with the SEC, which is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0"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or in any free writing prospectus that we may authorize to be provided to you in connection with a specific offering, we intend to use any net proceeds from the sale of securities under this prospectus to fund activities relating to the continued clinical development, manufacture or commercialization of our product candidates and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0" w:lineRule="exact"/>
        <w:rPr>
          <w:sz w:val="20"/>
          <w:szCs w:val="20"/>
          <w:color w:val="auto"/>
        </w:rPr>
      </w:pPr>
    </w:p>
    <w:p>
      <w:pPr>
        <w:ind w:left="1480" w:right="659"/>
        <w:spacing w:after="0" w:line="316" w:lineRule="auto"/>
        <w:rPr>
          <w:sz w:val="20"/>
          <w:szCs w:val="20"/>
          <w:color w:val="auto"/>
        </w:rPr>
      </w:pPr>
      <w:r>
        <w:rPr>
          <w:rFonts w:ascii="Times New Roman" w:cs="Times New Roman" w:eastAsia="Times New Roman" w:hAnsi="Times New Roman"/>
          <w:sz w:val="12"/>
          <w:szCs w:val="12"/>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37" w:lineRule="exact"/>
        <w:rPr>
          <w:sz w:val="20"/>
          <w:szCs w:val="20"/>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fixed price or prices, which may be changed from time to time;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sale;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66" w:lineRule="exact"/>
        <w:rPr>
          <w:sz w:val="20"/>
          <w:szCs w:val="20"/>
          <w:color w:val="auto"/>
        </w:rPr>
      </w:pPr>
    </w:p>
    <w:p>
      <w:pPr>
        <w:ind w:left="1480" w:right="479"/>
        <w:spacing w:after="0" w:line="254" w:lineRule="auto"/>
        <w:rPr>
          <w:sz w:val="20"/>
          <w:szCs w:val="20"/>
          <w:color w:val="auto"/>
        </w:rPr>
      </w:pPr>
      <w:r>
        <w:rPr>
          <w:rFonts w:ascii="Times New Roman" w:cs="Times New Roman" w:eastAsia="Times New Roman" w:hAnsi="Times New Roman"/>
          <w:sz w:val="14"/>
          <w:szCs w:val="14"/>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42" w:lineRule="exact"/>
        <w:rPr>
          <w:sz w:val="20"/>
          <w:szCs w:val="20"/>
          <w:color w:val="auto"/>
        </w:rPr>
      </w:pPr>
    </w:p>
    <w:p>
      <w:pPr>
        <w:ind w:left="1480" w:right="539"/>
        <w:spacing w:after="0" w:line="264" w:lineRule="auto"/>
        <w:rPr>
          <w:sz w:val="20"/>
          <w:szCs w:val="20"/>
          <w:color w:val="auto"/>
        </w:rPr>
      </w:pPr>
      <w:r>
        <w:rPr>
          <w:rFonts w:ascii="Times New Roman" w:cs="Times New Roman" w:eastAsia="Times New Roman" w:hAnsi="Times New Roman"/>
          <w:sz w:val="14"/>
          <w:szCs w:val="14"/>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36"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49" w:lineRule="exact"/>
        <w:rPr>
          <w:sz w:val="20"/>
          <w:szCs w:val="20"/>
          <w:color w:val="auto"/>
        </w:rPr>
      </w:pPr>
    </w:p>
    <w:p>
      <w:pPr>
        <w:ind w:left="1480" w:right="499"/>
        <w:spacing w:after="0" w:line="247" w:lineRule="auto"/>
        <w:rPr>
          <w:sz w:val="20"/>
          <w:szCs w:val="20"/>
          <w:color w:val="auto"/>
        </w:rPr>
      </w:pPr>
      <w:r>
        <w:rPr>
          <w:rFonts w:ascii="Times New Roman" w:cs="Times New Roman" w:eastAsia="Times New Roman" w:hAnsi="Times New Roman"/>
          <w:sz w:val="14"/>
          <w:szCs w:val="14"/>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47" w:lineRule="exact"/>
        <w:rPr>
          <w:sz w:val="20"/>
          <w:szCs w:val="20"/>
          <w:color w:val="auto"/>
        </w:rPr>
      </w:pPr>
    </w:p>
    <w:p>
      <w:pPr>
        <w:ind w:left="1480" w:right="439"/>
        <w:spacing w:after="0" w:line="247"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6" w:lineRule="exact"/>
        <w:rPr>
          <w:sz w:val="20"/>
          <w:szCs w:val="20"/>
          <w:color w:val="auto"/>
        </w:rPr>
      </w:pPr>
    </w:p>
    <w:p>
      <w:pPr>
        <w:ind w:left="2220" w:right="459" w:hanging="334"/>
        <w:spacing w:after="0" w:line="264"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419" w:hanging="334"/>
        <w:spacing w:after="0" w:line="25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2" w:lineRule="exact"/>
        <w:rPr>
          <w:sz w:val="20"/>
          <w:szCs w:val="20"/>
          <w:color w:val="auto"/>
        </w:rPr>
      </w:pPr>
    </w:p>
    <w:p>
      <w:pPr>
        <w:ind w:left="1480" w:right="399"/>
        <w:spacing w:after="0" w:line="247" w:lineRule="auto"/>
        <w:rPr>
          <w:sz w:val="20"/>
          <w:szCs w:val="20"/>
          <w:color w:val="auto"/>
        </w:rPr>
      </w:pPr>
      <w:r>
        <w:rPr>
          <w:rFonts w:ascii="Times New Roman" w:cs="Times New Roman" w:eastAsia="Times New Roman" w:hAnsi="Times New Roman"/>
          <w:sz w:val="14"/>
          <w:szCs w:val="14"/>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47" w:lineRule="exact"/>
        <w:rPr>
          <w:sz w:val="20"/>
          <w:szCs w:val="20"/>
          <w:color w:val="auto"/>
        </w:rPr>
      </w:pPr>
    </w:p>
    <w:p>
      <w:pPr>
        <w:ind w:left="1480" w:right="359"/>
        <w:spacing w:after="0" w:line="248" w:lineRule="auto"/>
        <w:rPr>
          <w:sz w:val="20"/>
          <w:szCs w:val="20"/>
          <w:color w:val="auto"/>
        </w:rPr>
      </w:pPr>
      <w:r>
        <w:rPr>
          <w:rFonts w:ascii="Times New Roman" w:cs="Times New Roman" w:eastAsia="Times New Roman" w:hAnsi="Times New Roman"/>
          <w:sz w:val="14"/>
          <w:szCs w:val="14"/>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49" w:lineRule="exact"/>
        <w:rPr>
          <w:sz w:val="20"/>
          <w:szCs w:val="20"/>
          <w:color w:val="auto"/>
        </w:rPr>
      </w:pPr>
    </w:p>
    <w:p>
      <w:pPr>
        <w:ind w:left="1480" w:right="339"/>
        <w:spacing w:after="0" w:line="300" w:lineRule="auto"/>
        <w:rPr>
          <w:sz w:val="20"/>
          <w:szCs w:val="20"/>
          <w:color w:val="auto"/>
        </w:rPr>
      </w:pPr>
      <w:r>
        <w:rPr>
          <w:rFonts w:ascii="Times New Roman" w:cs="Times New Roman" w:eastAsia="Times New Roman" w:hAnsi="Times New Roman"/>
          <w:sz w:val="12"/>
          <w:szCs w:val="12"/>
          <w:color w:val="auto"/>
        </w:rPr>
        <w:t>ADSs representing our ordinary shares sold pursuant to the registration statement of which this prospectus is a part will be authorized for listing and trading on The Nasdaq Global Select Market. The applicable prospectus supplement will contain information, where applicable, as to any other listing, if any, on The Nasdaq Global Select Market or any securities market or other securities exchange of the securities covered by the prospectus supplement. Underwriters may make a market in our ADSs, but will not be obligated to do so and may discontinue any market making at any time without notice. We can make no assurance as to the liquidity of or the existence, development or maintenance of trading markets for any of the securities.</w:t>
      </w:r>
    </w:p>
    <w:p>
      <w:pPr>
        <w:spacing w:after="0" w:line="118" w:lineRule="exact"/>
        <w:rPr>
          <w:sz w:val="20"/>
          <w:szCs w:val="20"/>
          <w:color w:val="auto"/>
        </w:rPr>
      </w:pPr>
    </w:p>
    <w:p>
      <w:pPr>
        <w:ind w:left="1480" w:right="439"/>
        <w:spacing w:after="0" w:line="246" w:lineRule="auto"/>
        <w:rPr>
          <w:sz w:val="20"/>
          <w:szCs w:val="20"/>
          <w:color w:val="auto"/>
        </w:rPr>
      </w:pPr>
      <w:r>
        <w:rPr>
          <w:rFonts w:ascii="Times New Roman" w:cs="Times New Roman" w:eastAsia="Times New Roman" w:hAnsi="Times New Roman"/>
          <w:sz w:val="14"/>
          <w:szCs w:val="14"/>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50" w:lineRule="exact"/>
        <w:rPr>
          <w:sz w:val="20"/>
          <w:szCs w:val="20"/>
          <w:color w:val="auto"/>
        </w:rPr>
      </w:pPr>
    </w:p>
    <w:p>
      <w:pPr>
        <w:jc w:val="center"/>
        <w:ind w:left="1700" w:right="80"/>
        <w:spacing w:after="0" w:line="432" w:lineRule="auto"/>
        <w:rPr>
          <w:sz w:val="20"/>
          <w:szCs w:val="20"/>
          <w:color w:val="auto"/>
        </w:rPr>
      </w:pPr>
      <w:r>
        <w:rPr>
          <w:rFonts w:ascii="Times New Roman" w:cs="Times New Roman" w:eastAsia="Times New Roman" w:hAnsi="Times New Roman"/>
          <w:sz w:val="14"/>
          <w:szCs w:val="14"/>
          <w:color w:val="auto"/>
        </w:rPr>
        <w:t>The underwriters, dealers and agents may engage in other transactions with us, or perform other services for us, in the ordinary course of their business. 14</w:t>
      </w:r>
    </w:p>
    <w:p>
      <w:pPr>
        <w:sectPr>
          <w:pgSz w:w="11900" w:h="16838" w:orient="portrait"/>
          <w:cols w:equalWidth="0" w:num="1">
            <w:col w:w="10159"/>
          </w:cols>
          <w:pgMar w:left="300" w:top="37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DESCRIPTION OF SHARE CAPITAL AND ARTICLES OF ASSOCIATION</w:t>
      </w:r>
    </w:p>
    <w:p>
      <w:pPr>
        <w:spacing w:after="0" w:line="168" w:lineRule="exact"/>
        <w:rPr>
          <w:sz w:val="20"/>
          <w:szCs w:val="20"/>
          <w:color w:val="auto"/>
        </w:rPr>
      </w:pPr>
    </w:p>
    <w:p>
      <w:pPr>
        <w:ind w:left="1480" w:right="4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The following describes our issued share capital, summarizes the material provisions of our articles of association and highlights certain differences in corporate law in England and Delaware, in the United States. Please note that this summary is not intended to be exhaustive. For further information, please refer to the full version of our articles of association, which are incorporated by reference herein.</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359" w:firstLine="333"/>
        <w:spacing w:after="0" w:line="295" w:lineRule="auto"/>
        <w:rPr>
          <w:sz w:val="20"/>
          <w:szCs w:val="20"/>
          <w:color w:val="auto"/>
        </w:rPr>
      </w:pPr>
      <w:r>
        <w:rPr>
          <w:rFonts w:ascii="Times New Roman" w:cs="Times New Roman" w:eastAsia="Times New Roman" w:hAnsi="Times New Roman"/>
          <w:sz w:val="12"/>
          <w:szCs w:val="12"/>
          <w:color w:val="auto"/>
        </w:rPr>
        <w:t>We are a public limited company, originally incorporated pursuant to the laws of England and Wales in February 2018 as a private company with limited liability called Autolus Therapeutics Limited. Autolus Limited was originally incorporated under the laws of England and Wales in July 2014. Pursuant to the terms of our corporate reorganization carried out in June 2018, the shareholders of Autolus Limited exchanged each of the shares held by them in Autolus Limited for the same number and class of newly issued shares of Autolus Therapeutics Limited and, as a result, Autolus Limited became a wholly owned subsidiary of Autolus Therapeutics Limited. On June 18, 2018, Autolus Therapeutics Limited re-registered as a public limited company and was renamed Autolus Therapeutics plc. On June 22, 2018, our outstanding preferred and ordinary shares were converted into a single class of ordinary shares and various classes of deferred shares, and we completed our initial public offering of ADSs on the Nasdaq Global Select Market.</w:t>
      </w:r>
    </w:p>
    <w:p>
      <w:pPr>
        <w:spacing w:after="0" w:line="120" w:lineRule="exact"/>
        <w:rPr>
          <w:sz w:val="20"/>
          <w:szCs w:val="20"/>
          <w:color w:val="auto"/>
        </w:rPr>
      </w:pPr>
    </w:p>
    <w:p>
      <w:pPr>
        <w:ind w:left="1480" w:right="1119" w:firstLine="333"/>
        <w:spacing w:after="0" w:line="264" w:lineRule="auto"/>
        <w:rPr>
          <w:sz w:val="20"/>
          <w:szCs w:val="20"/>
          <w:color w:val="auto"/>
        </w:rPr>
      </w:pPr>
      <w:r>
        <w:rPr>
          <w:rFonts w:ascii="Times New Roman" w:cs="Times New Roman" w:eastAsia="Times New Roman" w:hAnsi="Times New Roman"/>
          <w:sz w:val="14"/>
          <w:szCs w:val="14"/>
          <w:color w:val="auto"/>
        </w:rPr>
        <w:t>We are registered with the Registrar of Companies in England and Wales under number 11185179, and our registered office is at The MediaWorks, 191 Wood Lane, White City, London W12 7FP, United Kingdom.</w:t>
      </w:r>
    </w:p>
    <w:p>
      <w:pPr>
        <w:spacing w:after="0" w:line="2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Share Capital</w:t>
      </w:r>
    </w:p>
    <w:p>
      <w:pPr>
        <w:spacing w:after="0" w:line="170" w:lineRule="exact"/>
        <w:rPr>
          <w:sz w:val="20"/>
          <w:szCs w:val="20"/>
          <w:color w:val="auto"/>
        </w:rPr>
      </w:pPr>
    </w:p>
    <w:p>
      <w:pPr>
        <w:ind w:left="1480" w:right="499" w:firstLine="333"/>
        <w:spacing w:after="0" w:line="305" w:lineRule="auto"/>
        <w:rPr>
          <w:sz w:val="20"/>
          <w:szCs w:val="20"/>
          <w:color w:val="auto"/>
        </w:rPr>
      </w:pPr>
      <w:r>
        <w:rPr>
          <w:rFonts w:ascii="Times New Roman" w:cs="Times New Roman" w:eastAsia="Times New Roman" w:hAnsi="Times New Roman"/>
          <w:sz w:val="12"/>
          <w:szCs w:val="12"/>
          <w:color w:val="auto"/>
        </w:rPr>
        <w:t>We may issue ordinary shares from time to time. At our annual general meeting held on June 28, 2024, our shareholders authorized the board of directors, generally and unconditionally for the purpose of Section 551 of the Companies Act, to allot new ordinary shares in the company up to a maximum aggregate nominal amount of $8,400. This authority runs for five years and will expire on June 27, 2029. In addition, statutory preemption rights under Section 561(1) of the Companies Act have been disapplied in respect of new ordinary shares issued for cash pursuant to such authorities.</w:t>
      </w:r>
    </w:p>
    <w:p>
      <w:pPr>
        <w:spacing w:after="0" w:line="116" w:lineRule="exact"/>
        <w:rPr>
          <w:sz w:val="20"/>
          <w:szCs w:val="20"/>
          <w:color w:val="auto"/>
        </w:rPr>
      </w:pPr>
    </w:p>
    <w:p>
      <w:pPr>
        <w:jc w:val="both"/>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As of December 31, 2025, our issued capital share consisted of (i) 266,143,286 ordinary shares, with a nominal value of $0.000042 per share, (ii) 34,425 deferred shares, with a nominal value of £0.00001 per share, (iii) 88,893,548 B deferred shares, with a nominal value of £0.00099 per share and (iv) 1 C deferred share, with a nominal value of £0.000008. Each issued share has been fully paid.</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70" w:lineRule="exact"/>
        <w:rPr>
          <w:sz w:val="20"/>
          <w:szCs w:val="20"/>
          <w:color w:val="auto"/>
        </w:rPr>
      </w:pPr>
    </w:p>
    <w:p>
      <w:pPr>
        <w:ind w:left="1480" w:right="859" w:firstLine="333"/>
        <w:spacing w:after="0" w:line="264" w:lineRule="auto"/>
        <w:rPr>
          <w:sz w:val="20"/>
          <w:szCs w:val="20"/>
          <w:color w:val="auto"/>
        </w:rPr>
      </w:pPr>
      <w:r>
        <w:rPr>
          <w:rFonts w:ascii="Times New Roman" w:cs="Times New Roman" w:eastAsia="Times New Roman" w:hAnsi="Times New Roman"/>
          <w:sz w:val="14"/>
          <w:szCs w:val="14"/>
          <w:color w:val="auto"/>
        </w:rPr>
        <w:t>Our ordinary shares have the rights and restrictions described in “—Key Provisions of Our Articles of Association” below. The following summarizes the rights of holders of our ordinary shares:</w:t>
      </w:r>
    </w:p>
    <w:p>
      <w:pPr>
        <w:spacing w:after="0" w:line="65" w:lineRule="exact"/>
        <w:rPr>
          <w:sz w:val="20"/>
          <w:szCs w:val="20"/>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our ordinary shares is entitled to one vote per ordinary share on all matters to be voted on by shareholders generally;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ordinary shares shall be entitled to receive notice of, attend, speak and vote at our general meetings; and</w:t>
      </w:r>
    </w:p>
    <w:p>
      <w:pPr>
        <w:spacing w:after="0" w:line="94" w:lineRule="exact"/>
        <w:rPr>
          <w:rFonts w:ascii="Times New Roman" w:cs="Times New Roman" w:eastAsia="Times New Roman" w:hAnsi="Times New Roman"/>
          <w:sz w:val="14"/>
          <w:szCs w:val="14"/>
          <w:color w:val="auto"/>
        </w:rPr>
      </w:pPr>
    </w:p>
    <w:p>
      <w:pPr>
        <w:ind w:left="2220" w:right="1099" w:hanging="334"/>
        <w:spacing w:after="0" w:line="264" w:lineRule="auto"/>
        <w:tabs>
          <w:tab w:leader="none" w:pos="2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our ordinary shares are entitled to receive such dividends as are recommended by our directors and declared by our shareholders.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7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Registered Shares</w:t>
      </w:r>
    </w:p>
    <w:p>
      <w:pPr>
        <w:spacing w:after="0" w:line="170" w:lineRule="exact"/>
        <w:rPr>
          <w:sz w:val="20"/>
          <w:szCs w:val="20"/>
          <w:color w:val="auto"/>
        </w:rPr>
      </w:pPr>
    </w:p>
    <w:p>
      <w:pPr>
        <w:ind w:left="1480" w:right="639" w:firstLine="333"/>
        <w:spacing w:after="0" w:line="305" w:lineRule="auto"/>
        <w:rPr>
          <w:sz w:val="20"/>
          <w:szCs w:val="20"/>
          <w:color w:val="auto"/>
        </w:rPr>
      </w:pPr>
      <w:r>
        <w:rPr>
          <w:rFonts w:ascii="Times New Roman" w:cs="Times New Roman" w:eastAsia="Times New Roman" w:hAnsi="Times New Roman"/>
          <w:sz w:val="12"/>
          <w:szCs w:val="12"/>
          <w:color w:val="auto"/>
        </w:rPr>
        <w:t xml:space="preserve">We are required by the Companies Act to keep a register of our shareholders. Under English law, the shares are deemed to be issued when the name of the shareholder is entered in our register of members. The register of members therefore is </w:t>
      </w:r>
      <w:r>
        <w:rPr>
          <w:rFonts w:ascii="Times New Roman" w:cs="Times New Roman" w:eastAsia="Times New Roman" w:hAnsi="Times New Roman"/>
          <w:sz w:val="12"/>
          <w:szCs w:val="12"/>
          <w:i w:val="1"/>
          <w:iCs w:val="1"/>
          <w:color w:val="auto"/>
        </w:rPr>
        <w:t>prima facie</w:t>
      </w:r>
      <w:r>
        <w:rPr>
          <w:rFonts w:ascii="Times New Roman" w:cs="Times New Roman" w:eastAsia="Times New Roman" w:hAnsi="Times New Roman"/>
          <w:sz w:val="12"/>
          <w:szCs w:val="12"/>
          <w:color w:val="auto"/>
        </w:rPr>
        <w:t xml:space="preserv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spacing w:after="0" w:line="116" w:lineRule="exact"/>
        <w:rPr>
          <w:sz w:val="20"/>
          <w:szCs w:val="20"/>
          <w:color w:val="auto"/>
        </w:rPr>
      </w:pPr>
    </w:p>
    <w:p>
      <w:pPr>
        <w:ind w:left="1480" w:right="379" w:firstLine="333"/>
        <w:spacing w:after="0" w:line="316" w:lineRule="auto"/>
        <w:rPr>
          <w:sz w:val="20"/>
          <w:szCs w:val="20"/>
          <w:color w:val="auto"/>
        </w:rPr>
      </w:pPr>
      <w:r>
        <w:rPr>
          <w:rFonts w:ascii="Times New Roman" w:cs="Times New Roman" w:eastAsia="Times New Roman" w:hAnsi="Times New Roman"/>
          <w:sz w:val="12"/>
          <w:szCs w:val="12"/>
          <w:color w:val="auto"/>
        </w:rPr>
        <w:t>Holders of our ADSs will not be treated as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109"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Under the Companies Act, we must enter an allotment of shares in our register of members as soon as practicable and in any event within two months of the allotment. We will perform all procedures necessary to update the register of members to reflect the shares being allotted and issued in any offering of securities registered under this Registration Statement.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any of our shareholders or any other affected person may apply to the court for rectification of the register of members if:</w:t>
      </w:r>
    </w:p>
    <w:p>
      <w:pPr>
        <w:spacing w:after="0" w:line="94" w:lineRule="exact"/>
        <w:rPr>
          <w:sz w:val="20"/>
          <w:szCs w:val="20"/>
          <w:color w:val="auto"/>
        </w:rPr>
      </w:pPr>
    </w:p>
    <w:p>
      <w:pPr>
        <w:ind w:left="2220" w:hanging="334"/>
        <w:spacing w:after="0"/>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any person, without sufficient cause, is wrongly entered in or omitted from our register of members; or</w:t>
      </w:r>
    </w:p>
    <w:p>
      <w:pPr>
        <w:spacing w:after="0" w:line="94" w:lineRule="exact"/>
        <w:rPr>
          <w:rFonts w:ascii="Times New Roman" w:cs="Times New Roman" w:eastAsia="Times New Roman" w:hAnsi="Times New Roman"/>
          <w:sz w:val="14"/>
          <w:szCs w:val="14"/>
          <w:color w:val="auto"/>
        </w:rPr>
      </w:pPr>
    </w:p>
    <w:p>
      <w:pPr>
        <w:ind w:left="2220" w:right="379" w:hanging="334"/>
        <w:spacing w:after="0" w:line="264" w:lineRule="auto"/>
        <w:tabs>
          <w:tab w:leader="none" w:pos="2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2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70" w:lineRule="exact"/>
        <w:rPr>
          <w:sz w:val="20"/>
          <w:szCs w:val="20"/>
          <w:color w:val="auto"/>
        </w:rPr>
      </w:pPr>
    </w:p>
    <w:p>
      <w:pPr>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We and the holders of certain of our ordinary shares are parties to a registration rights agreement that provides the following registration rights, which have been waived in connection with the registration, offer and sale of securities registered under this Registration Statement:</w:t>
      </w:r>
    </w:p>
    <w:p>
      <w:pPr>
        <w:spacing w:after="0" w:line="63" w:lineRule="exact"/>
        <w:rPr>
          <w:sz w:val="20"/>
          <w:szCs w:val="20"/>
          <w:color w:val="auto"/>
        </w:rPr>
      </w:pPr>
    </w:p>
    <w:p>
      <w:pPr>
        <w:ind w:left="2220" w:right="479" w:hanging="334"/>
        <w:spacing w:after="0" w:line="251"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Demand Registration on Form S-3 or F-3 </w:t>
      </w:r>
      <w:r>
        <w:rPr>
          <w:rFonts w:ascii="Times New Roman" w:cs="Times New Roman" w:eastAsia="Times New Roman" w:hAnsi="Times New Roman"/>
          <w:sz w:val="14"/>
          <w:szCs w:val="14"/>
          <w:color w:val="auto"/>
        </w:rPr>
        <w:t>– each holder shall be entitled to unlimited demand registrations on Form S-3 or F-3, if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eligible to register shares on Form S-3 or F-3, provided that these demand registration rights may only be exercised by holders who hold, in the aggregate, not less than 10% of the aggregate number of shares then outstanding and held by all holders who are party to the agreement. These demand registration rights may not be exercised more than twice in any twelve-month period.</w:t>
      </w:r>
    </w:p>
    <w:p>
      <w:pPr>
        <w:spacing w:after="0" w:line="72" w:lineRule="exact"/>
        <w:rPr>
          <w:rFonts w:ascii="Times New Roman" w:cs="Times New Roman" w:eastAsia="Times New Roman" w:hAnsi="Times New Roman"/>
          <w:sz w:val="14"/>
          <w:szCs w:val="14"/>
          <w:color w:val="auto"/>
        </w:rPr>
      </w:pPr>
    </w:p>
    <w:p>
      <w:pPr>
        <w:jc w:val="both"/>
        <w:ind w:left="2220" w:right="479" w:hanging="334"/>
        <w:spacing w:after="0" w:line="255"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Piggyback Registration </w:t>
      </w:r>
      <w:r>
        <w:rPr>
          <w:rFonts w:ascii="Times New Roman" w:cs="Times New Roman" w:eastAsia="Times New Roman" w:hAnsi="Times New Roman"/>
          <w:sz w:val="14"/>
          <w:szCs w:val="14"/>
          <w:color w:val="auto"/>
        </w:rPr>
        <w:t>– each holder shall be entitled to piggyback registration rights, subject, in the case of an underwritten offering,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customary reductions by the underwriter, provided that the aggregate number of securities of the holders included in the registration may not be reduced to less than 30% of the total number of securities registered.</w:t>
      </w:r>
    </w:p>
    <w:p>
      <w:pPr>
        <w:spacing w:after="0" w:line="68" w:lineRule="exact"/>
        <w:rPr>
          <w:rFonts w:ascii="Times New Roman" w:cs="Times New Roman" w:eastAsia="Times New Roman" w:hAnsi="Times New Roman"/>
          <w:sz w:val="14"/>
          <w:szCs w:val="14"/>
          <w:color w:val="auto"/>
        </w:rPr>
      </w:pPr>
    </w:p>
    <w:p>
      <w:pPr>
        <w:ind w:left="2220" w:right="439" w:hanging="334"/>
        <w:spacing w:after="0" w:line="267"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Expenses </w:t>
      </w:r>
      <w:r>
        <w:rPr>
          <w:rFonts w:ascii="Times New Roman" w:cs="Times New Roman" w:eastAsia="Times New Roman" w:hAnsi="Times New Roman"/>
          <w:sz w:val="14"/>
          <w:szCs w:val="14"/>
          <w:color w:val="auto"/>
        </w:rPr>
        <w:t>– We will pay all registration expenses relating to the exercise of the registration rights above, including the reasonable fees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of legal counsel to the participating holders up to a maximum of $50,000 in the aggregate per registration.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170"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English law generally provides shareholders with statutory preemptive rights when new shares are issued for cash; however, it is possible for the articles of association, or shareholders by way of a special resolution at a general meeting,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In either case, this disapplication would need to be renewed by our shareholders upon its expiration (i.e., at least every five years).</w:t>
      </w:r>
    </w:p>
    <w:p>
      <w:pPr>
        <w:spacing w:after="0" w:line="149" w:lineRule="exact"/>
        <w:rPr>
          <w:sz w:val="20"/>
          <w:szCs w:val="20"/>
          <w:color w:val="auto"/>
        </w:rPr>
      </w:pPr>
    </w:p>
    <w:p>
      <w:pPr>
        <w:ind w:left="1480" w:right="499" w:firstLine="333"/>
        <w:spacing w:after="0" w:line="247" w:lineRule="auto"/>
        <w:rPr>
          <w:sz w:val="20"/>
          <w:szCs w:val="20"/>
          <w:color w:val="auto"/>
        </w:rPr>
      </w:pPr>
      <w:r>
        <w:rPr>
          <w:rFonts w:ascii="Times New Roman" w:cs="Times New Roman" w:eastAsia="Times New Roman" w:hAnsi="Times New Roman"/>
          <w:sz w:val="14"/>
          <w:szCs w:val="14"/>
          <w:color w:val="auto"/>
        </w:rPr>
        <w:t>At our annual general meeting held on June 28, 2024, our shareholders approved the disapplication of statutory preemption rights under section 561(1) of the Companies Act for the allotment of equity securities for cash up to a maximum aggregate nominal amount of $8,400, which expires (unless previously renewed, varied or revoked) on June 27, 2029. This disapplication will need to be renewed upon expiration (i.e., at least every five years) to remain effective, but may be sought more frequently for additional five-year terms (or any shorter period). As such, preemptive rights for the allotment of ordinary shares in connection with the registration, offer and sale of securities registered under this Registration Statement have been disapplied, subject to the maximum amount specified.</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Purchase of Own Shares</w:t>
      </w:r>
    </w:p>
    <w:p>
      <w:pPr>
        <w:spacing w:after="0" w:line="170" w:lineRule="exact"/>
        <w:rPr>
          <w:sz w:val="20"/>
          <w:szCs w:val="20"/>
          <w:color w:val="auto"/>
        </w:rPr>
      </w:pPr>
    </w:p>
    <w:p>
      <w:pPr>
        <w:ind w:left="1480" w:right="419" w:firstLine="333"/>
        <w:spacing w:after="0" w:line="300" w:lineRule="auto"/>
        <w:rPr>
          <w:sz w:val="20"/>
          <w:szCs w:val="20"/>
          <w:color w:val="auto"/>
        </w:rPr>
      </w:pPr>
      <w:r>
        <w:rPr>
          <w:rFonts w:ascii="Times New Roman" w:cs="Times New Roman" w:eastAsia="Times New Roman" w:hAnsi="Times New Roman"/>
          <w:sz w:val="12"/>
          <w:szCs w:val="12"/>
          <w:color w:val="auto"/>
        </w:rPr>
        <w:t>English law permits a public limited company to purchase its own shares out of the distributable profits of the company or the proceeds of a fresh issue of shares made for the purpose of financing the purchase, subject to complying with procedural requirements under the Companies Act and provided that its articles of association do not prohibit it from doing so. Our articles of association, a summary of which is provided below, do not prohibit us from purchasing our own shares. A public limited company must not purchase its own shares if, as a result of the purchase, there would no longer be any issued shares of the company other than redeemable shares or shares held as treasury shares. Shares must be fully paid to be repurchased.</w:t>
      </w:r>
    </w:p>
    <w:p>
      <w:pPr>
        <w:spacing w:after="0" w:line="118" w:lineRule="exact"/>
        <w:rPr>
          <w:sz w:val="20"/>
          <w:szCs w:val="20"/>
          <w:color w:val="auto"/>
        </w:rPr>
      </w:pPr>
    </w:p>
    <w:p>
      <w:pPr>
        <w:ind w:left="1480" w:right="359" w:firstLine="333"/>
        <w:spacing w:after="0" w:line="246" w:lineRule="auto"/>
        <w:rPr>
          <w:sz w:val="20"/>
          <w:szCs w:val="20"/>
          <w:color w:val="auto"/>
        </w:rPr>
      </w:pPr>
      <w:r>
        <w:rPr>
          <w:rFonts w:ascii="Times New Roman" w:cs="Times New Roman" w:eastAsia="Times New Roman" w:hAnsi="Times New Roman"/>
          <w:sz w:val="14"/>
          <w:szCs w:val="14"/>
          <w:color w:val="auto"/>
        </w:rPr>
        <w:t>Any such purchase will be either a “market purchase” or “off market purchase,” each as defined in the Companies Act. A “market purchase” is a purchase made on a “recognized investment exchange” (other than an overseas exchange) as defined in the UK Financial Services and Markets Act 2000, or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being later than the five years after the passing of the resolution, on which the authority to purchase is to expire.</w:t>
      </w:r>
    </w:p>
    <w:p>
      <w:pPr>
        <w:spacing w:after="0" w:line="150" w:lineRule="exact"/>
        <w:rPr>
          <w:sz w:val="20"/>
          <w:szCs w:val="20"/>
          <w:color w:val="auto"/>
        </w:rPr>
      </w:pPr>
    </w:p>
    <w:p>
      <w:pPr>
        <w:jc w:val="both"/>
        <w:ind w:left="1480" w:right="579" w:firstLine="333"/>
        <w:spacing w:after="0" w:line="254" w:lineRule="auto"/>
        <w:rPr>
          <w:sz w:val="20"/>
          <w:szCs w:val="20"/>
          <w:color w:val="auto"/>
        </w:rPr>
      </w:pPr>
      <w:r>
        <w:rPr>
          <w:rFonts w:ascii="Times New Roman" w:cs="Times New Roman" w:eastAsia="Times New Roman" w:hAnsi="Times New Roman"/>
          <w:sz w:val="14"/>
          <w:szCs w:val="14"/>
          <w:color w:val="auto"/>
        </w:rPr>
        <w:t>The Nasdaq Global Select Market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142" w:lineRule="exact"/>
        <w:rPr>
          <w:sz w:val="20"/>
          <w:szCs w:val="20"/>
          <w:color w:val="auto"/>
        </w:rPr>
      </w:pPr>
    </w:p>
    <w:p>
      <w:pPr>
        <w:ind w:left="1480" w:right="439" w:firstLine="333"/>
        <w:spacing w:after="0" w:line="248" w:lineRule="auto"/>
        <w:rPr>
          <w:sz w:val="20"/>
          <w:szCs w:val="20"/>
          <w:color w:val="auto"/>
        </w:rPr>
      </w:pPr>
      <w:r>
        <w:rPr>
          <w:rFonts w:ascii="Times New Roman" w:cs="Times New Roman" w:eastAsia="Times New Roman" w:hAnsi="Times New Roman"/>
          <w:sz w:val="14"/>
          <w:szCs w:val="14"/>
          <w:color w:val="auto"/>
        </w:rPr>
        <w:t>A share buy-back by a company of its shares will give rise to U.K. stamp duty reserve tax and stamp duty at the rate of 0.5% of the amount or value of the consideration payable by the company (rounded up to the next £5.00), and such stamp duty reserve tax or stamp duty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7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Distributions and Dividends</w:t>
      </w:r>
    </w:p>
    <w:p>
      <w:pPr>
        <w:spacing w:after="0" w:line="170" w:lineRule="exact"/>
        <w:rPr>
          <w:sz w:val="20"/>
          <w:szCs w:val="20"/>
          <w:color w:val="auto"/>
        </w:rPr>
      </w:pPr>
    </w:p>
    <w:p>
      <w:pPr>
        <w:ind w:left="1480" w:right="459" w:firstLine="333"/>
        <w:spacing w:after="0" w:line="246" w:lineRule="auto"/>
        <w:rPr>
          <w:sz w:val="20"/>
          <w:szCs w:val="20"/>
          <w:color w:val="auto"/>
        </w:rPr>
      </w:pPr>
      <w:r>
        <w:rPr>
          <w:rFonts w:ascii="Times New Roman" w:cs="Times New Roman" w:eastAsia="Times New Roman" w:hAnsi="Times New Roman"/>
          <w:sz w:val="14"/>
          <w:szCs w:val="14"/>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 As a public company, it will not be sufficient that we have made a distributable profit for the purpose of making a distribution. An additional capital maintenance requirement will be imposed on us to ensure that the net worth of the company is at least equal to the amount of its capital. A public company can only make a distribution:</w:t>
      </w:r>
    </w:p>
    <w:p>
      <w:pPr>
        <w:spacing w:after="0" w:line="79" w:lineRule="exact"/>
        <w:rPr>
          <w:sz w:val="20"/>
          <w:szCs w:val="20"/>
          <w:color w:val="auto"/>
        </w:rPr>
      </w:pPr>
    </w:p>
    <w:p>
      <w:pPr>
        <w:ind w:left="2220" w:right="419" w:hanging="334"/>
        <w:spacing w:after="0" w:line="264"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time that the distribution is made, the amount of its net assets (that is, the total excess of assets over liabilities) is not less than the total of its called up share capital and undistributable reserves; and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that, the distribution itself, at the time that it is made, does not reduce the amount of its net assets to less than that total.</w:t>
      </w:r>
    </w:p>
    <w:p>
      <w:pPr>
        <w:spacing w:after="0" w:line="3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Disclosure of Interest in Shares</w:t>
      </w:r>
    </w:p>
    <w:p>
      <w:pPr>
        <w:spacing w:after="0" w:line="170" w:lineRule="exact"/>
        <w:rPr>
          <w:sz w:val="20"/>
          <w:szCs w:val="20"/>
          <w:color w:val="auto"/>
        </w:rPr>
      </w:pPr>
    </w:p>
    <w:p>
      <w:pPr>
        <w:ind w:left="1480" w:right="459" w:firstLine="333"/>
        <w:spacing w:after="0" w:line="250" w:lineRule="auto"/>
        <w:rPr>
          <w:sz w:val="20"/>
          <w:szCs w:val="20"/>
          <w:color w:val="auto"/>
        </w:rPr>
      </w:pPr>
      <w:r>
        <w:rPr>
          <w:rFonts w:ascii="Times New Roman" w:cs="Times New Roman" w:eastAsia="Times New Roman" w:hAnsi="Times New Roman"/>
          <w:sz w:val="14"/>
          <w:szCs w:val="14"/>
          <w:color w:val="auto"/>
        </w:rPr>
        <w:t>Pursuant to Part 22 of the Companies Act,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or her knowledge, particulars of any other interest that subsists or subsisted in those shares.</w:t>
      </w:r>
    </w:p>
    <w:p>
      <w:pPr>
        <w:spacing w:after="0" w:line="146" w:lineRule="exact"/>
        <w:rPr>
          <w:sz w:val="20"/>
          <w:szCs w:val="20"/>
          <w:color w:val="auto"/>
        </w:rPr>
      </w:pPr>
    </w:p>
    <w:p>
      <w:pPr>
        <w:ind w:left="1480" w:right="499" w:firstLine="333"/>
        <w:spacing w:after="0" w:line="264" w:lineRule="auto"/>
        <w:rPr>
          <w:sz w:val="20"/>
          <w:szCs w:val="20"/>
          <w:color w:val="auto"/>
        </w:rPr>
      </w:pPr>
      <w:r>
        <w:rPr>
          <w:rFonts w:ascii="Times New Roman" w:cs="Times New Roman" w:eastAsia="Times New Roman" w:hAnsi="Times New Roman"/>
          <w:sz w:val="14"/>
          <w:szCs w:val="14"/>
          <w:color w:val="auto"/>
        </w:rPr>
        <w:t>Under our articles of association, if a person defaults in supplying us with the required particulars in relation to the shares in question, or default shares within the prescribed period, unless our board of directors determines otherwise:</w:t>
      </w:r>
    </w:p>
    <w:p>
      <w:pPr>
        <w:spacing w:after="0" w:line="65" w:lineRule="exact"/>
        <w:rPr>
          <w:sz w:val="20"/>
          <w:szCs w:val="20"/>
          <w:color w:val="auto"/>
        </w:rPr>
      </w:pPr>
    </w:p>
    <w:p>
      <w:pPr>
        <w:ind w:left="2220" w:right="499" w:hanging="334"/>
        <w:spacing w:after="0" w:line="254"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 shall not be entitled in respect of the default shares to be present or to vote (either in person or by representative or proxy) at any general meeting or separate meeting of the holders of any class of shares or to exercise any other right conferred by membership in relation to any such meeting; and</w:t>
      </w:r>
    </w:p>
    <w:p>
      <w:pPr>
        <w:spacing w:after="0" w:line="70" w:lineRule="exact"/>
        <w:rPr>
          <w:rFonts w:ascii="Times New Roman" w:cs="Times New Roman" w:eastAsia="Times New Roman" w:hAnsi="Times New Roman"/>
          <w:sz w:val="14"/>
          <w:szCs w:val="14"/>
          <w:color w:val="auto"/>
        </w:rPr>
      </w:pPr>
    </w:p>
    <w:p>
      <w:pPr>
        <w:ind w:left="2220" w:right="359" w:hanging="334"/>
        <w:spacing w:after="0" w:line="297" w:lineRule="auto"/>
        <w:tabs>
          <w:tab w:leader="none" w:pos="22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default shares represent at least 0.25% in nominal value of the issued shares of their class (calculated exclusive of any shares held as treasury shares): (a) any dividend or other money payable in respect of the default shares shall be withheld by us without liability to pay interest and the relevant shareholder shall not be entitled to elect to receive shares instead of that dividend, and(b) no transfer, other than an excepted transfer, by the relevant shareholder of any default shares may be registered, unless the shareholder himself or herself is not in default of supplying the required information and the shareholder proves to the satisfaction of the board of directors that no person in default as regards to supplying such information is interested in any of the shares that are subject of the transfer.</w:t>
      </w:r>
    </w:p>
    <w:p>
      <w:pPr>
        <w:spacing w:after="0" w:line="1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We may also require conversion into certificated form any Shares held by the relevant shareholder in uncertificated form.</w:t>
      </w:r>
    </w:p>
    <w:p>
      <w:pPr>
        <w:spacing w:after="0" w:line="3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Key Provisions of Our Articles of Association</w:t>
      </w:r>
    </w:p>
    <w:p>
      <w:pPr>
        <w:spacing w:after="0" w:line="168" w:lineRule="exact"/>
        <w:rPr>
          <w:sz w:val="20"/>
          <w:szCs w:val="20"/>
          <w:color w:val="auto"/>
        </w:rPr>
      </w:pPr>
    </w:p>
    <w:p>
      <w:pPr>
        <w:ind w:left="1480" w:right="379" w:firstLine="333"/>
        <w:spacing w:after="0" w:line="318" w:lineRule="auto"/>
        <w:rPr>
          <w:sz w:val="20"/>
          <w:szCs w:val="20"/>
          <w:color w:val="auto"/>
        </w:rPr>
      </w:pPr>
      <w:r>
        <w:rPr>
          <w:rFonts w:ascii="Times New Roman" w:cs="Times New Roman" w:eastAsia="Times New Roman" w:hAnsi="Times New Roman"/>
          <w:sz w:val="12"/>
          <w:szCs w:val="12"/>
          <w:i w:val="1"/>
          <w:iCs w:val="1"/>
          <w:color w:val="auto"/>
        </w:rPr>
        <w:t>The following is a summary of certain key provisions of our articles of association, which were adopted by a special resolution of our shareholders passed on June 15, 2018. Please note that this is only a summary and is not intended to be exhaustive. For further information please refer to the full version of our articles of association, which is included as an exhibit to the registration statement of which this prospectus forms a part.</w:t>
      </w:r>
    </w:p>
    <w:p>
      <w:pPr>
        <w:spacing w:after="0" w:line="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The articles of association contain no specific restrictions on our purpose and therefore, by virtue of section 31(1) of the Companies Act, our purpose is unrestricted.</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articles of association contain, among other things, provisions to the following effect:</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Share Capital</w:t>
      </w:r>
    </w:p>
    <w:p>
      <w:pPr>
        <w:spacing w:after="0" w:line="88"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Our share capital currently consists of ordinary shares, deferred shares, B deferred shares and C deferred shares. Subject to the Companies Act and any rights attaching to the shares already in issue, we may issue shares with such rights or restrictions as may be determined by ordinary resolution, or if no ordinary resolution has been passed or so far as the resolution does not make specific provision, as determined by the board of directors, including shares which are to be redeemed, or are liable to be redeemed at our option or the option of the holder of such shares.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88" w:lineRule="exact"/>
        <w:rPr>
          <w:sz w:val="20"/>
          <w:szCs w:val="20"/>
          <w:color w:val="auto"/>
        </w:rPr>
      </w:pPr>
    </w:p>
    <w:p>
      <w:pPr>
        <w:ind w:left="1480" w:right="559" w:firstLine="333"/>
        <w:spacing w:after="0" w:line="254" w:lineRule="auto"/>
        <w:rPr>
          <w:sz w:val="20"/>
          <w:szCs w:val="20"/>
          <w:color w:val="auto"/>
        </w:rPr>
      </w:pPr>
      <w:r>
        <w:rPr>
          <w:rFonts w:ascii="Times New Roman" w:cs="Times New Roman" w:eastAsia="Times New Roman" w:hAnsi="Times New Roman"/>
          <w:sz w:val="14"/>
          <w:szCs w:val="14"/>
          <w:color w:val="auto"/>
        </w:rPr>
        <w:t>Holders of ordinary shares have the right to receive notice of, and to vote at, our general meetings. Any resolution put to the vote of a general meeting must be decided exclusively on a poll. Each shareholder who is present in person (or, being a corporation, by representative) or by proxy has one vote in respect of every share held by him.</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Variation of Rights</w:t>
      </w:r>
    </w:p>
    <w:p>
      <w:pPr>
        <w:spacing w:after="0" w:line="88" w:lineRule="exact"/>
        <w:rPr>
          <w:sz w:val="20"/>
          <w:szCs w:val="20"/>
          <w:color w:val="auto"/>
        </w:rPr>
      </w:pPr>
    </w:p>
    <w:p>
      <w:pPr>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Subject to the Companies Act, the rights attached to any class of shares may be varied or abrogated (i) with the consent in writing of the holders of not less than three-quarters in nominal value of the issued shares of that class, (ii) with the authority of a special resolution passed at a separate meeting of the holders of the shares of that class or (iii) in any other way as expressly provided for in relation to such rights.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88"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We may, subject to the provisions of the Companies Act and our articles of association, by ordinary resolution from time to time declare dividends to be paid to shareholders not exceeding the amount recommended by our board of directors. Subject to the provisions of the Companies Act, in the discretion of board of directors, on the basis that our profits justify such payments, the board of directors may pay interim dividends on any class of our shares provided that no interim dividend shall be paid on shares carrying deferred or non-preferred rights if, at the time of payment, any preferential dividend is in arrears.</w:t>
      </w:r>
    </w:p>
    <w:p>
      <w:pPr>
        <w:spacing w:after="0" w:line="149" w:lineRule="exact"/>
        <w:rPr>
          <w:sz w:val="20"/>
          <w:szCs w:val="20"/>
          <w:color w:val="auto"/>
        </w:rPr>
      </w:pPr>
    </w:p>
    <w:p>
      <w:pPr>
        <w:jc w:val="both"/>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Any dividend unclaimed after a period of 12 years from the date such dividend was declared or became payable shall, if the board of directors so resolve, be forfeited, cease to remain owing and shall revert to us. No dividend or other moneys payable on or in respect of a share shall bear interest as against us.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Transfer of Ordinary Shares</w:t>
      </w:r>
    </w:p>
    <w:p>
      <w:pPr>
        <w:spacing w:after="0" w:line="88" w:lineRule="exact"/>
        <w:rPr>
          <w:sz w:val="20"/>
          <w:szCs w:val="20"/>
          <w:color w:val="auto"/>
        </w:rPr>
      </w:pPr>
    </w:p>
    <w:p>
      <w:pPr>
        <w:ind w:left="1480" w:right="639" w:firstLine="333"/>
        <w:spacing w:after="0" w:line="264" w:lineRule="auto"/>
        <w:rPr>
          <w:sz w:val="20"/>
          <w:szCs w:val="20"/>
          <w:color w:val="auto"/>
        </w:rPr>
      </w:pPr>
      <w:r>
        <w:rPr>
          <w:rFonts w:ascii="Times New Roman" w:cs="Times New Roman" w:eastAsia="Times New Roman" w:hAnsi="Times New Roman"/>
          <w:sz w:val="14"/>
          <w:szCs w:val="14"/>
          <w:color w:val="auto"/>
        </w:rPr>
        <w:t>Each member may transfer all or any of his shares which are in certificated form by means of an instrument of transfer in writing in any usual form or in any other form which the board of directors may approve.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board of directors may, in its absolute discretion, refuse to register a transfer of certificated shares unless:</w:t>
      </w:r>
    </w:p>
    <w:p>
      <w:pPr>
        <w:spacing w:after="0" w:line="84" w:lineRule="exact"/>
        <w:rPr>
          <w:sz w:val="20"/>
          <w:szCs w:val="20"/>
          <w:color w:val="auto"/>
        </w:rPr>
      </w:pPr>
    </w:p>
    <w:p>
      <w:pPr>
        <w:ind w:left="1980" w:hanging="169"/>
        <w:spacing w:after="0"/>
        <w:tabs>
          <w:tab w:leader="none" w:pos="1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for a share which is fully paid up;</w:t>
      </w:r>
    </w:p>
    <w:p>
      <w:pPr>
        <w:spacing w:after="0" w:line="165" w:lineRule="exact"/>
        <w:rPr>
          <w:rFonts w:ascii="Times New Roman" w:cs="Times New Roman" w:eastAsia="Times New Roman" w:hAnsi="Times New Roman"/>
          <w:sz w:val="14"/>
          <w:szCs w:val="14"/>
          <w:color w:val="auto"/>
        </w:rPr>
      </w:pPr>
    </w:p>
    <w:p>
      <w:pPr>
        <w:ind w:left="2020" w:hanging="209"/>
        <w:spacing w:after="0"/>
        <w:tabs>
          <w:tab w:leader="none" w:pos="2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for a share upon which the company has no lien;</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040" w:hanging="229"/>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only for one class of share;</w:t>
      </w:r>
    </w:p>
    <w:p>
      <w:pPr>
        <w:spacing w:after="0" w:line="165" w:lineRule="exact"/>
        <w:rPr>
          <w:rFonts w:ascii="Times New Roman" w:cs="Times New Roman" w:eastAsia="Times New Roman" w:hAnsi="Times New Roman"/>
          <w:sz w:val="14"/>
          <w:szCs w:val="14"/>
          <w:color w:val="auto"/>
        </w:rPr>
      </w:pPr>
    </w:p>
    <w:p>
      <w:pPr>
        <w:ind w:left="2040" w:hanging="229"/>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in favor of a single transferee or no more than four joint transferees;</w:t>
      </w:r>
    </w:p>
    <w:p>
      <w:pPr>
        <w:spacing w:after="0" w:line="165" w:lineRule="exact"/>
        <w:rPr>
          <w:rFonts w:ascii="Times New Roman" w:cs="Times New Roman" w:eastAsia="Times New Roman" w:hAnsi="Times New Roman"/>
          <w:sz w:val="14"/>
          <w:szCs w:val="14"/>
          <w:color w:val="auto"/>
        </w:rPr>
      </w:pPr>
    </w:p>
    <w:p>
      <w:pPr>
        <w:ind w:left="2000" w:hanging="189"/>
        <w:spacing w:after="0"/>
        <w:tabs>
          <w:tab w:leader="none" w:pos="2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duly stamped or is duly certificated or otherwise shown to the satisfaction of the board of directors to be exempt from stamp duty; and</w:t>
      </w:r>
    </w:p>
    <w:p>
      <w:pPr>
        <w:spacing w:after="0" w:line="165" w:lineRule="exact"/>
        <w:rPr>
          <w:rFonts w:ascii="Times New Roman" w:cs="Times New Roman" w:eastAsia="Times New Roman" w:hAnsi="Times New Roman"/>
          <w:sz w:val="14"/>
          <w:szCs w:val="14"/>
          <w:color w:val="auto"/>
        </w:rPr>
      </w:pPr>
    </w:p>
    <w:p>
      <w:pPr>
        <w:ind w:left="1480" w:right="459" w:firstLine="331"/>
        <w:spacing w:after="0" w:line="248" w:lineRule="auto"/>
        <w:tabs>
          <w:tab w:leader="none" w:pos="20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Allotment of Shares and Preemption Rights</w:t>
      </w:r>
    </w:p>
    <w:p>
      <w:pPr>
        <w:spacing w:after="0" w:line="88"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In accordance with section 551 of the Companies Act, the board of directors may be generally and unconditionally authorized to exercise for each prescribed period all the powers of the company to allot shares up to an aggregate nominal amount equal to the amount stated in the relevant ordinary resolution authorizing such allotment. The authorities referred to above were granted by our shareholders at our annual general meeting held on June 28, 2024 up to a maximum aggregate nominal amount of $8,400,which remain in force at the date of this prospectus and shall expire (unless previously renewed, varied or revoked) on June 27, 2029.</w:t>
      </w:r>
    </w:p>
    <w:p>
      <w:pPr>
        <w:spacing w:after="0" w:line="149"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provisions of section 561 of the Companies Act (which confer on shareholders rights of preemption in respect of the allotment of equity securities which are paid up in cash) apply to the company except to the extent disapplied by special resolution of the shareholders of the company, or in the company’s articles of association. Such preemption rights have been disapplied by special resolution of the shareholders passed at our annual general meeting held on June 28, 2024 up to a maximum aggregate nominal amount of $8,400, which shall expire (unless previously renewed, varied or revoked) on June 27, 2029.</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Alteration of Share Capital</w:t>
      </w:r>
    </w:p>
    <w:p>
      <w:pPr>
        <w:spacing w:after="0" w:line="88" w:lineRule="exact"/>
        <w:rPr>
          <w:sz w:val="20"/>
          <w:szCs w:val="20"/>
          <w:color w:val="auto"/>
        </w:rPr>
      </w:pPr>
    </w:p>
    <w:p>
      <w:pPr>
        <w:jc w:val="both"/>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In accordance with the Companies Act, the company may by ordinary resolution consolidate its share capital into shares of larger nominal value than its existing shares, or sub-divide its shares into shares of a smaller amount than the existing shares, and may in each case determine that the shares resulting from such sub-division or share consolidation may have a preference or advantage or be subject to a particular restriction.</w:t>
      </w:r>
    </w:p>
    <w:p>
      <w:pPr>
        <w:spacing w:after="0" w:line="142"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p>
      <w:pPr>
        <w:spacing w:after="0" w:line="88"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Unless otherwise determined by the company by ordinary resolution, the number of directors (other than any alternate directors) shall not be less than two and not more than 15.</w:t>
      </w:r>
    </w:p>
    <w:p>
      <w:pPr>
        <w:spacing w:after="0" w:line="136" w:lineRule="exact"/>
        <w:rPr>
          <w:sz w:val="20"/>
          <w:szCs w:val="20"/>
          <w:color w:val="auto"/>
        </w:rPr>
      </w:pPr>
    </w:p>
    <w:p>
      <w:pPr>
        <w:ind w:left="1480" w:right="479" w:firstLine="333"/>
        <w:spacing w:after="0" w:line="316" w:lineRule="auto"/>
        <w:rPr>
          <w:sz w:val="20"/>
          <w:szCs w:val="20"/>
          <w:color w:val="auto"/>
        </w:rPr>
      </w:pPr>
      <w:r>
        <w:rPr>
          <w:rFonts w:ascii="Times New Roman" w:cs="Times New Roman" w:eastAsia="Times New Roman" w:hAnsi="Times New Roman"/>
          <w:sz w:val="12"/>
          <w:szCs w:val="12"/>
          <w:color w:val="auto"/>
        </w:rPr>
        <w:t>Subject to the articles of association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the maximum number of 15.</w:t>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99" w:firstLine="333"/>
        <w:spacing w:after="0" w:line="250" w:lineRule="auto"/>
        <w:rPr>
          <w:sz w:val="20"/>
          <w:szCs w:val="20"/>
          <w:color w:val="auto"/>
        </w:rPr>
      </w:pPr>
      <w:r>
        <w:rPr>
          <w:rFonts w:ascii="Times New Roman" w:cs="Times New Roman" w:eastAsia="Times New Roman" w:hAnsi="Times New Roman"/>
          <w:sz w:val="14"/>
          <w:szCs w:val="14"/>
          <w:color w:val="auto"/>
        </w:rPr>
        <w:t>Our articles of association provide that our board of directors is divided into three classes, each of which will consist, as nearly as possible, of one-third of the total number of directors constituting our entire board and which will serve staggered three-year terms. At each annual general meeting, the successors to directors whose terms then expire will be elected to serve from the time of election and qualification until the third annual meeting following election.</w:t>
      </w:r>
    </w:p>
    <w:p>
      <w:pPr>
        <w:spacing w:after="0" w:line="14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At each succeeding annual general meeting of the company following the third annual general meeting of the company following the listing of our ADSs on the Nasdaq Global Select Market, directors shall be elected to serve for a term of three years to succeed the directors of the class whose terms expire at such annual general meeting. Subject to the provisions of the articles of association, the board of directors may regulate their proceedings as they deem appropriate. A director may, and the secretary at the request of a director shall, call a meeting of the directors.</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quorum for a meeting of the board of directors may be determined by the board and until otherwise determined, it is set at two directors.</w:t>
      </w:r>
    </w:p>
    <w:p>
      <w:pPr>
        <w:spacing w:after="0" w:line="166"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Questions and matters requiring resolution arising at a meeting shall be decided by a majority of votes of the participating directors, with each director having one vote. In the case of an equality of votes, the chairman will have a casting vote or second vote, unless he or she is not entitled to vote on the resolution in question.</w:t>
      </w:r>
    </w:p>
    <w:p>
      <w:pPr>
        <w:spacing w:after="0" w:line="142" w:lineRule="exact"/>
        <w:rPr>
          <w:sz w:val="20"/>
          <w:szCs w:val="20"/>
          <w:color w:val="auto"/>
        </w:rPr>
      </w:pPr>
    </w:p>
    <w:p>
      <w:pPr>
        <w:ind w:left="1480" w:right="399" w:firstLine="333"/>
        <w:spacing w:after="0" w:line="300" w:lineRule="auto"/>
        <w:rPr>
          <w:sz w:val="20"/>
          <w:szCs w:val="20"/>
          <w:color w:val="auto"/>
        </w:rPr>
      </w:pPr>
      <w:r>
        <w:rPr>
          <w:rFonts w:ascii="Times New Roman" w:cs="Times New Roman" w:eastAsia="Times New Roman" w:hAnsi="Times New Roman"/>
          <w:sz w:val="12"/>
          <w:szCs w:val="12"/>
          <w:color w:val="auto"/>
        </w:rPr>
        <w:t>Directors shall be entitled to receive such remuneration as the board shall determine for their services to the company as directors, and for any other service which they undertake for the company provided that the aggregate fees payable to the directors must not exceed $2,500,000 per annum or such higher amount as may from time to time be decided by ordinary resolution.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118" w:lineRule="exact"/>
        <w:rPr>
          <w:sz w:val="20"/>
          <w:szCs w:val="20"/>
          <w:color w:val="auto"/>
        </w:rPr>
      </w:pPr>
    </w:p>
    <w:p>
      <w:pPr>
        <w:ind w:left="1480" w:right="719" w:firstLine="333"/>
        <w:spacing w:after="0" w:line="264" w:lineRule="auto"/>
        <w:rPr>
          <w:sz w:val="20"/>
          <w:szCs w:val="20"/>
          <w:color w:val="auto"/>
        </w:rPr>
      </w:pPr>
      <w:r>
        <w:rPr>
          <w:rFonts w:ascii="Times New Roman" w:cs="Times New Roman" w:eastAsia="Times New Roman" w:hAnsi="Times New Roman"/>
          <w:sz w:val="14"/>
          <w:szCs w:val="14"/>
          <w:color w:val="auto"/>
        </w:rPr>
        <w:t>The board of directors may, in accordance with the requirements in the articles of association, authorize any matter proposed to them by any director which would, if not authorized, involve a director breaching their duty under the Companies Act, to avoid conflicts of interests.</w:t>
      </w:r>
    </w:p>
    <w:p>
      <w:pPr>
        <w:spacing w:after="0" w:line="136" w:lineRule="exact"/>
        <w:rPr>
          <w:sz w:val="20"/>
          <w:szCs w:val="20"/>
          <w:color w:val="auto"/>
        </w:rPr>
      </w:pPr>
    </w:p>
    <w:p>
      <w:pPr>
        <w:jc w:val="both"/>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A director seeking authorization in respect of such conflict shall declare to the board of directors the nature and extent of his interest in a conflict as soon as is reasonably practicable. The director shall provide the board with such details of the matter as are necessary for the board to decide how to address the conflict together with such additional information as may be requested by the board.</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Any authorization by the board of directors will be effective only if:</w:t>
      </w:r>
    </w:p>
    <w:p>
      <w:pPr>
        <w:spacing w:after="0" w:line="84" w:lineRule="exact"/>
        <w:rPr>
          <w:sz w:val="20"/>
          <w:szCs w:val="20"/>
          <w:color w:val="auto"/>
        </w:rPr>
      </w:pPr>
    </w:p>
    <w:p>
      <w:pPr>
        <w:ind w:left="1480" w:right="579" w:firstLine="331"/>
        <w:spacing w:after="0" w:line="264" w:lineRule="auto"/>
        <w:tabs>
          <w:tab w:leader="none" w:pos="19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the Companies Act, the matter in question shall have been proposed by any director for consideration in the same way that any other matter may be proposed to the directors under the provisions of the articles of association;</w:t>
      </w:r>
    </w:p>
    <w:p>
      <w:pPr>
        <w:spacing w:after="0" w:line="136" w:lineRule="exact"/>
        <w:rPr>
          <w:rFonts w:ascii="Times New Roman" w:cs="Times New Roman" w:eastAsia="Times New Roman" w:hAnsi="Times New Roman"/>
          <w:sz w:val="14"/>
          <w:szCs w:val="14"/>
          <w:color w:val="auto"/>
        </w:rPr>
      </w:pPr>
    </w:p>
    <w:p>
      <w:pPr>
        <w:ind w:left="1480" w:right="819" w:firstLine="331"/>
        <w:spacing w:after="0" w:line="264" w:lineRule="auto"/>
        <w:tabs>
          <w:tab w:leader="none" w:pos="20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as to the quorum for consideration of the relevant matter is met without counting the conflicted director and any other conflicted director; and</w:t>
      </w:r>
    </w:p>
    <w:p>
      <w:pPr>
        <w:spacing w:after="0" w:line="136" w:lineRule="exact"/>
        <w:rPr>
          <w:rFonts w:ascii="Times New Roman" w:cs="Times New Roman" w:eastAsia="Times New Roman" w:hAnsi="Times New Roman"/>
          <w:sz w:val="14"/>
          <w:szCs w:val="14"/>
          <w:color w:val="auto"/>
        </w:rPr>
      </w:pPr>
    </w:p>
    <w:p>
      <w:pPr>
        <w:ind w:left="1480" w:right="819" w:firstLine="331"/>
        <w:spacing w:after="0" w:line="264" w:lineRule="auto"/>
        <w:tabs>
          <w:tab w:leader="none" w:pos="205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matter is agreed to without the conflicted director voting or would be agreed to if the conflicted director’s and any other interested director’s vote is not counted.</w:t>
      </w:r>
    </w:p>
    <w:p>
      <w:pPr>
        <w:spacing w:after="0" w:line="136"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Subject to the provisions of the Companies Act, every director, secretary or other officer of the company (other than an auditor) is entitled to be indemnified against all losses and liabilities incurred in connection with his or her duties and powers.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General Meetings</w:t>
      </w:r>
    </w:p>
    <w:p>
      <w:pPr>
        <w:spacing w:after="0" w:line="88"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The company must convene and hold annual general meetings once a year in accordance with the Companies Act. Under the Companies Act, an annual general meeting must be called by notice of at least 21 clear days.</w:t>
      </w:r>
    </w:p>
    <w:p>
      <w:pPr>
        <w:spacing w:after="0" w:line="136" w:lineRule="exact"/>
        <w:rPr>
          <w:sz w:val="20"/>
          <w:szCs w:val="20"/>
          <w:color w:val="auto"/>
        </w:rPr>
      </w:pPr>
    </w:p>
    <w:p>
      <w:pPr>
        <w:ind w:left="1480" w:right="579" w:firstLine="333"/>
        <w:spacing w:after="0" w:line="250" w:lineRule="auto"/>
        <w:rPr>
          <w:sz w:val="20"/>
          <w:szCs w:val="20"/>
          <w:color w:val="auto"/>
        </w:rPr>
      </w:pPr>
      <w:r>
        <w:rPr>
          <w:rFonts w:ascii="Times New Roman" w:cs="Times New Roman" w:eastAsia="Times New Roman" w:hAnsi="Times New Roman"/>
          <w:sz w:val="14"/>
          <w:szCs w:val="14"/>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Unless otherwise provided by the articles of association, two shareholders present in person or by proxy and entitled to vote shall be a quorum for all purposes.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Borrowing Powers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Subject to the articles of association and the Companies Act, the board of directors may exercise all of the powers of the company to:</w:t>
      </w:r>
    </w:p>
    <w:p>
      <w:pPr>
        <w:spacing w:after="0" w:line="84" w:lineRule="exact"/>
        <w:rPr>
          <w:sz w:val="20"/>
          <w:szCs w:val="20"/>
          <w:color w:val="auto"/>
        </w:rPr>
      </w:pPr>
    </w:p>
    <w:p>
      <w:pPr>
        <w:ind w:left="2000" w:hanging="189"/>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 money;</w:t>
      </w:r>
    </w:p>
    <w:p>
      <w:pPr>
        <w:spacing w:after="0" w:line="165" w:lineRule="exact"/>
        <w:rPr>
          <w:rFonts w:ascii="Times New Roman" w:cs="Times New Roman" w:eastAsia="Times New Roman" w:hAnsi="Times New Roman"/>
          <w:sz w:val="14"/>
          <w:szCs w:val="14"/>
          <w:color w:val="auto"/>
        </w:rPr>
      </w:pPr>
    </w:p>
    <w:p>
      <w:pPr>
        <w:ind w:left="2000" w:hanging="189"/>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indemnify and guarantee;</w:t>
      </w:r>
    </w:p>
    <w:p>
      <w:pPr>
        <w:spacing w:after="0" w:line="165" w:lineRule="exact"/>
        <w:rPr>
          <w:rFonts w:ascii="Times New Roman" w:cs="Times New Roman" w:eastAsia="Times New Roman" w:hAnsi="Times New Roman"/>
          <w:sz w:val="14"/>
          <w:szCs w:val="14"/>
          <w:color w:val="auto"/>
        </w:rPr>
      </w:pPr>
    </w:p>
    <w:p>
      <w:pPr>
        <w:ind w:left="2000" w:hanging="189"/>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or charge the assets of the company;</w:t>
      </w:r>
    </w:p>
    <w:p>
      <w:pPr>
        <w:spacing w:after="0" w:line="165" w:lineRule="exact"/>
        <w:rPr>
          <w:rFonts w:ascii="Times New Roman" w:cs="Times New Roman" w:eastAsia="Times New Roman" w:hAnsi="Times New Roman"/>
          <w:sz w:val="14"/>
          <w:szCs w:val="14"/>
          <w:color w:val="auto"/>
        </w:rPr>
      </w:pPr>
    </w:p>
    <w:p>
      <w:pPr>
        <w:ind w:left="2000" w:hanging="189"/>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and issue debentures and other securities; and</w:t>
      </w:r>
    </w:p>
    <w:p>
      <w:pPr>
        <w:spacing w:after="0" w:line="165" w:lineRule="exact"/>
        <w:rPr>
          <w:rFonts w:ascii="Times New Roman" w:cs="Times New Roman" w:eastAsia="Times New Roman" w:hAnsi="Times New Roman"/>
          <w:sz w:val="14"/>
          <w:szCs w:val="14"/>
          <w:color w:val="auto"/>
        </w:rPr>
      </w:pPr>
    </w:p>
    <w:p>
      <w:pPr>
        <w:ind w:left="2000" w:hanging="189"/>
        <w:spacing w:after="0"/>
        <w:tabs>
          <w:tab w:leader="none" w:pos="2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security either outright or as collateral security for any debt, liability or obligation of the company or of any third party.</w:t>
      </w:r>
    </w:p>
    <w:p>
      <w:pPr>
        <w:spacing w:after="0" w:line="166" w:lineRule="exact"/>
        <w:rPr>
          <w:sz w:val="20"/>
          <w:szCs w:val="20"/>
          <w:color w:val="auto"/>
        </w:rPr>
      </w:pPr>
    </w:p>
    <w:p>
      <w:pPr>
        <w:jc w:val="both"/>
        <w:ind w:left="1480" w:right="439" w:firstLine="333"/>
        <w:spacing w:after="0" w:line="254" w:lineRule="auto"/>
        <w:rPr>
          <w:sz w:val="20"/>
          <w:szCs w:val="20"/>
          <w:color w:val="auto"/>
        </w:rPr>
      </w:pPr>
      <w:r>
        <w:rPr>
          <w:rFonts w:ascii="Times New Roman" w:cs="Times New Roman" w:eastAsia="Times New Roman" w:hAnsi="Times New Roman"/>
          <w:sz w:val="14"/>
          <w:szCs w:val="14"/>
          <w:color w:val="auto"/>
        </w:rPr>
        <w:t>The board of directors can restrict the borrowings of the company and exercise all voting and other rights or powers of control exercisable by the company in relation to its subsidiary undertakings so as to secure that the aggregate of the amounts borrowed shall not without the previous sanction of an ordinary resolution of the company exceed an amount equal to $400,000,000.</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Capitalization of Profits</w:t>
      </w:r>
    </w:p>
    <w:p>
      <w:pPr>
        <w:spacing w:after="0" w:line="88" w:lineRule="exact"/>
        <w:rPr>
          <w:sz w:val="20"/>
          <w:szCs w:val="20"/>
          <w:color w:val="auto"/>
        </w:rPr>
      </w:pPr>
    </w:p>
    <w:p>
      <w:pPr>
        <w:ind w:left="1480" w:right="419" w:firstLine="333"/>
        <w:spacing w:after="0" w:line="300" w:lineRule="auto"/>
        <w:rPr>
          <w:sz w:val="20"/>
          <w:szCs w:val="20"/>
          <w:color w:val="auto"/>
        </w:rPr>
      </w:pPr>
      <w:r>
        <w:rPr>
          <w:rFonts w:ascii="Times New Roman" w:cs="Times New Roman" w:eastAsia="Times New Roman" w:hAnsi="Times New Roman"/>
          <w:sz w:val="12"/>
          <w:szCs w:val="12"/>
          <w:color w:val="auto"/>
        </w:rPr>
        <w:t>The directors may, if they are so authorized by an ordinary resolution of the shareholders, decide to capitalize any undivided profits of the company not required for paying any preferential dividend (whether or not they are available for distribution), or any sum standing to the credit of any reserve or fund of the company which is available for distribution or standing to the credit of the company’s share premium account, capital redemption reserve or any other undistributable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Uncertificated Shares</w:t>
      </w:r>
    </w:p>
    <w:p>
      <w:pPr>
        <w:spacing w:after="0" w:line="88"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Subject to the Companies Act, the board of directors may permit title to shares of any class to be issued or held otherwise than by a certificate and to be transferred by means of a “relevant system”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DTC) without a certificate.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88"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Our articles of association provide that the U.S. federal district courts will be the exclusive forum for resolving any complaint asserting a cause of action arising under the Securities Act. Apart from any cause of action arising under the Securities Act, by subscribing for or acquiring shares, shareholders submit all disputes between them and the company or the board of directors to the exclusive jurisdiction of the English courts.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Other Relevant United Kingdom Laws and Regulations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Mandatory Bid</w:t>
      </w:r>
    </w:p>
    <w:p>
      <w:pPr>
        <w:spacing w:after="0" w:line="88" w:lineRule="exact"/>
        <w:rPr>
          <w:sz w:val="20"/>
          <w:szCs w:val="20"/>
          <w:color w:val="auto"/>
        </w:rPr>
      </w:pPr>
    </w:p>
    <w:p>
      <w:pPr>
        <w:ind w:left="1480" w:right="359" w:firstLine="331"/>
        <w:spacing w:after="0" w:line="246" w:lineRule="auto"/>
        <w:tabs>
          <w:tab w:leader="none" w:pos="197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transitional provisions that apply until February 2027, depending on meeting the jurisdictional criteria, the City Code on Takeovers and Mergers, or the Takeover Code, can be applicable to public limited companies incorporated in England and Wales that are not listed in the United Kingdom if they have their place of central management and control in the United Kingdom (or the Channel Islands or the Isle of Man). This is known as the “residency test”. We believe that, as of the date of this prospectus, our place of central management and control is not in the United Kingdom (or the Channel Islands or the Isle of Man) for the purposes of the jurisdictional criteria of the Takeover Code. Accordingly, we believe that we are currently not subject to the Takeover Code and, as a result, our shareholders are not currently entitled to the benefit of certain takeover offer protections provided under the Takeover Code, including the rules regarding mandatory takeover bids. Following the end of the transitional period, with effect from February 3, 2027, the “residency test” will be abolished in its entirety and we expect we will not be subject to the jurisdiction of the Takeover Code at all from that time, unless our securities are listed in the United Kingdom.</w:t>
      </w:r>
    </w:p>
    <w:p>
      <w:pPr>
        <w:spacing w:after="0" w:line="149"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However if the company were to become subject to the Takeover Code prior to the end of the transitional period, the following provisions will apply. Under Rule 9 of the Takeover Code, where:</w:t>
      </w:r>
    </w:p>
    <w:p>
      <w:pPr>
        <w:spacing w:after="0" w:line="54" w:lineRule="exact"/>
        <w:rPr>
          <w:sz w:val="20"/>
          <w:szCs w:val="20"/>
          <w:color w:val="auto"/>
        </w:rPr>
      </w:pPr>
    </w:p>
    <w:p>
      <w:pPr>
        <w:ind w:left="1480" w:right="619" w:firstLine="333"/>
        <w:spacing w:after="0" w:line="254" w:lineRule="auto"/>
        <w:rPr>
          <w:sz w:val="20"/>
          <w:szCs w:val="20"/>
          <w:color w:val="auto"/>
        </w:rPr>
      </w:pPr>
      <w:r>
        <w:rPr>
          <w:rFonts w:ascii="Times New Roman" w:cs="Times New Roman" w:eastAsia="Times New Roman" w:hAnsi="Times New Roman"/>
          <w:sz w:val="14"/>
          <w:szCs w:val="14"/>
          <w:color w:val="auto"/>
        </w:rPr>
        <w:t>a. 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142" w:lineRule="exact"/>
        <w:rPr>
          <w:sz w:val="20"/>
          <w:szCs w:val="20"/>
          <w:color w:val="auto"/>
        </w:rPr>
      </w:pPr>
    </w:p>
    <w:p>
      <w:pPr>
        <w:ind w:left="1480" w:right="419" w:firstLine="333"/>
        <w:spacing w:after="0" w:line="297" w:lineRule="auto"/>
        <w:rPr>
          <w:sz w:val="20"/>
          <w:szCs w:val="20"/>
          <w:color w:val="auto"/>
        </w:rPr>
      </w:pPr>
      <w:r>
        <w:rPr>
          <w:rFonts w:ascii="Times New Roman" w:cs="Times New Roman" w:eastAsia="Times New Roman" w:hAnsi="Times New Roman"/>
          <w:sz w:val="12"/>
          <w:szCs w:val="12"/>
          <w:color w:val="auto"/>
        </w:rPr>
        <w:t>b. 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 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19" w:lineRule="exact"/>
        <w:rPr>
          <w:sz w:val="20"/>
          <w:szCs w:val="20"/>
          <w:color w:val="auto"/>
        </w:rPr>
      </w:pPr>
    </w:p>
    <w:p>
      <w:pPr>
        <w:ind w:left="1480" w:right="379" w:firstLine="331"/>
        <w:spacing w:after="0" w:line="349" w:lineRule="auto"/>
        <w:tabs>
          <w:tab w:leader="none" w:pos="2013"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offer under Rule 9 of the Takeover Code must be in cash and at a price not less than the highest price paid for any interests in the shares by the person required to make an offer or any person acting in concert with him during the 12 months prior to the announcement of the offer.</w:t>
      </w:r>
    </w:p>
    <w:p>
      <w:pPr>
        <w:spacing w:after="0" w:line="88" w:lineRule="exact"/>
        <w:rPr>
          <w:rFonts w:ascii="Times New Roman" w:cs="Times New Roman" w:eastAsia="Times New Roman" w:hAnsi="Times New Roman"/>
          <w:sz w:val="12"/>
          <w:szCs w:val="12"/>
          <w:color w:val="auto"/>
        </w:rPr>
      </w:pPr>
    </w:p>
    <w:p>
      <w:pPr>
        <w:ind w:left="1480" w:right="439" w:firstLine="331"/>
        <w:spacing w:after="0" w:line="250" w:lineRule="auto"/>
        <w:tabs>
          <w:tab w:leader="none" w:pos="205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Takeover Code, a “concert party” arises where persons acting together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de facto control.</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Squeeze-out</w:t>
      </w:r>
    </w:p>
    <w:p>
      <w:pPr>
        <w:spacing w:after="0" w:line="88" w:lineRule="exact"/>
        <w:rPr>
          <w:sz w:val="20"/>
          <w:szCs w:val="20"/>
          <w:color w:val="auto"/>
        </w:rPr>
      </w:pPr>
    </w:p>
    <w:p>
      <w:pPr>
        <w:ind w:left="1480" w:right="419" w:firstLine="331"/>
        <w:spacing w:after="0" w:line="247" w:lineRule="auto"/>
        <w:tabs>
          <w:tab w:leader="none" w:pos="197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sections 979 to 982 of the Companies Act, if an offeror were to acquire, or unconditionally contract to acquire, not less than 90% in value of the ordinary shares of the company and 90% of the voting rights carried by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539" w:firstLine="331"/>
        <w:spacing w:after="0" w:line="254" w:lineRule="auto"/>
        <w:tabs>
          <w:tab w:leader="none" w:pos="201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142" w:lineRule="exact"/>
        <w:rPr>
          <w:rFonts w:ascii="Times New Roman" w:cs="Times New Roman" w:eastAsia="Times New Roman" w:hAnsi="Times New Roman"/>
          <w:sz w:val="14"/>
          <w:szCs w:val="14"/>
          <w:color w:val="auto"/>
        </w:rPr>
      </w:pPr>
    </w:p>
    <w:p>
      <w:pPr>
        <w:ind w:left="2040" w:hanging="229"/>
        <w:spacing w:after="0"/>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hold the consideration on trust for the outstanding shareholders.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Sell-out</w:t>
      </w:r>
    </w:p>
    <w:p>
      <w:pPr>
        <w:spacing w:after="0" w:line="88" w:lineRule="exact"/>
        <w:rPr>
          <w:sz w:val="20"/>
          <w:szCs w:val="20"/>
          <w:color w:val="auto"/>
        </w:rPr>
      </w:pPr>
    </w:p>
    <w:p>
      <w:pPr>
        <w:ind w:left="1480" w:right="359" w:firstLine="331"/>
        <w:spacing w:after="0" w:line="295" w:lineRule="auto"/>
        <w:tabs>
          <w:tab w:leader="none" w:pos="197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unconditionally agreed to acquire not less than 90% in value of the voting shares and not less than 90% of the voting rights carried by those shares, any holder of 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19" w:lineRule="exact"/>
        <w:rPr>
          <w:rFonts w:ascii="Times New Roman" w:cs="Times New Roman" w:eastAsia="Times New Roman" w:hAnsi="Times New Roman"/>
          <w:sz w:val="12"/>
          <w:szCs w:val="12"/>
          <w:color w:val="auto"/>
        </w:rPr>
      </w:pPr>
    </w:p>
    <w:p>
      <w:pPr>
        <w:ind w:left="2020" w:hanging="209"/>
        <w:spacing w:after="0"/>
        <w:tabs>
          <w:tab w:leader="none" w:pos="2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shareholder exercises his rights, the offeror is bound to acquire those shares on the terms of the offer or on such other terms as may be</w:t>
      </w:r>
    </w:p>
    <w:p>
      <w:pPr>
        <w:spacing w:after="0" w:line="14" w:lineRule="exact"/>
        <w:rPr>
          <w:rFonts w:ascii="Times New Roman" w:cs="Times New Roman" w:eastAsia="Times New Roman" w:hAnsi="Times New Roman"/>
          <w:sz w:val="14"/>
          <w:szCs w:val="14"/>
          <w:color w:val="auto"/>
        </w:rPr>
      </w:pPr>
    </w:p>
    <w:p>
      <w:pPr>
        <w:ind w:left="1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agreed.</w:t>
      </w: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68" w:lineRule="exact"/>
        <w:rPr>
          <w:sz w:val="20"/>
          <w:szCs w:val="20"/>
          <w:color w:val="auto"/>
        </w:rPr>
      </w:pPr>
    </w:p>
    <w:p>
      <w:pPr>
        <w:ind w:left="1480" w:right="359" w:firstLine="333"/>
        <w:spacing w:after="0" w:line="251" w:lineRule="auto"/>
        <w:rPr>
          <w:sz w:val="20"/>
          <w:szCs w:val="20"/>
          <w:color w:val="auto"/>
        </w:rPr>
      </w:pPr>
      <w:r>
        <w:rPr>
          <w:rFonts w:ascii="Times New Roman" w:cs="Times New Roman" w:eastAsia="Times New Roman" w:hAnsi="Times New Roman"/>
          <w:sz w:val="14"/>
          <w:szCs w:val="14"/>
          <w:i w:val="1"/>
          <w:iCs w:val="1"/>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0159"/>
          </w:cols>
          <w:pgMar w:left="300" w:top="378" w:right="1440" w:bottom="1440" w:gutter="0" w:footer="0" w:header="0"/>
        </w:sectPr>
      </w:pPr>
    </w:p>
    <w:p>
      <w:pPr>
        <w:spacing w:after="0" w:line="16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 Directors</w:t>
            </w:r>
          </w:p>
        </w:tc>
        <w:tc>
          <w:tcPr>
            <w:tcW w:w="96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c>
          <w:tcPr>
            <w:tcW w:w="0" w:type="dxa"/>
            <w:vAlign w:val="bottom"/>
          </w:tcPr>
          <w:p>
            <w:pPr>
              <w:spacing w:after="0"/>
              <w:rPr>
                <w:sz w:val="1"/>
                <w:szCs w:val="1"/>
                <w:color w:val="auto"/>
              </w:rPr>
            </w:pPr>
          </w:p>
        </w:tc>
      </w:tr>
      <w:tr>
        <w:trPr>
          <w:trHeight w:val="141"/>
        </w:trPr>
        <w:tc>
          <w:tcPr>
            <w:tcW w:w="21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6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Under the Companies Act, a public limited</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company must have at least two directors and</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the number of directors may be fixed by or in</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9"/>
              </w:rPr>
              <w:t>the manner provided in a company’s articles of</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association.</w:t>
            </w: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Removal of Directors</w:t>
            </w: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Under the Companies Act, shareholders may</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9"/>
              </w:rPr>
              <w:t>remove a director without cause by an ordinary</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7"/>
              </w:rPr>
              <w:t>resolution (which is passed by a simple majority</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of those voting in person or by proxy at a</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9"/>
              </w:rPr>
              <w:t>general meeting) irrespective of any provisions</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w w:val="99"/>
              </w:rPr>
              <w:t>of any service contract the director has with the</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company, provided 28 clear days’ notice of the</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36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resolution has been given to the</w:t>
            </w:r>
          </w:p>
        </w:tc>
        <w:tc>
          <w:tcPr>
            <w:tcW w:w="0" w:type="dxa"/>
            <w:vAlign w:val="bottom"/>
          </w:tcPr>
          <w:p>
            <w:pPr>
              <w:spacing w:after="0"/>
              <w:rPr>
                <w:sz w:val="1"/>
                <w:szCs w:val="1"/>
                <w:color w:val="auto"/>
              </w:rPr>
            </w:pPr>
          </w:p>
        </w:tc>
      </w:tr>
      <w:tr>
        <w:trPr>
          <w:trHeight w:val="439"/>
        </w:trPr>
        <w:tc>
          <w:tcPr>
            <w:tcW w:w="2140" w:type="dxa"/>
            <w:vAlign w:val="bottom"/>
          </w:tcPr>
          <w:p>
            <w:pPr>
              <w:spacing w:after="0"/>
              <w:rPr>
                <w:sz w:val="24"/>
                <w:szCs w:val="24"/>
                <w:color w:val="auto"/>
              </w:rPr>
            </w:pPr>
          </w:p>
        </w:tc>
        <w:tc>
          <w:tcPr>
            <w:tcW w:w="362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ind w:right="379"/>
        <w:spacing w:after="0" w:line="248" w:lineRule="auto"/>
        <w:rPr>
          <w:sz w:val="20"/>
          <w:szCs w:val="20"/>
          <w:color w:val="auto"/>
        </w:rPr>
      </w:pPr>
      <w:r>
        <w:rPr>
          <w:rFonts w:ascii="Times New Roman" w:cs="Times New Roman" w:eastAsia="Times New Roman" w:hAnsi="Times New Roman"/>
          <w:sz w:val="14"/>
          <w:szCs w:val="14"/>
          <w:color w:val="auto"/>
        </w:rPr>
        <w:t>Under Delaware law, a corporation must have at least one director and the number of directors shall be fixed by or in the manner provided in the bylaws.</w:t>
      </w:r>
    </w:p>
    <w:p>
      <w:pPr>
        <w:spacing w:after="0" w:line="229" w:lineRule="exact"/>
        <w:rPr>
          <w:sz w:val="20"/>
          <w:szCs w:val="20"/>
          <w:color w:val="auto"/>
        </w:rPr>
      </w:pPr>
    </w:p>
    <w:p>
      <w:pPr>
        <w:ind w:right="419"/>
        <w:spacing w:after="0" w:line="293" w:lineRule="auto"/>
        <w:rPr>
          <w:sz w:val="20"/>
          <w:szCs w:val="20"/>
          <w:color w:val="auto"/>
        </w:rPr>
      </w:pPr>
      <w:r>
        <w:rPr>
          <w:rFonts w:ascii="Times New Roman" w:cs="Times New Roman" w:eastAsia="Times New Roman" w:hAnsi="Times New Roman"/>
          <w:sz w:val="12"/>
          <w:szCs w:val="12"/>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w:t>
      </w:r>
    </w:p>
    <w:p>
      <w:pPr>
        <w:sectPr>
          <w:pgSz w:w="11900" w:h="16838" w:orient="portrait"/>
          <w:cols w:equalWidth="0" w:num="2">
            <w:col w:w="7240" w:space="160"/>
            <w:col w:w="2759"/>
          </w:cols>
          <w:pgMar w:left="300" w:top="378"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141"/>
        </w:trPr>
        <w:tc>
          <w:tcPr>
            <w:tcW w:w="2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company and its shareholders. On receipt of</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notice of an intended resolution to remove a</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director, the company must forthwith send a</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copy of the notice to the director concerned.</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7"/>
              </w:rPr>
              <w:t>Certain other procedural requirements under the</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Companies Act must also be followed, such as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allowing the director to make representations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against his or her removal either at the meeting</w:t>
            </w:r>
          </w:p>
        </w:tc>
      </w:tr>
      <w:tr>
        <w:trPr>
          <w:trHeight w:val="175"/>
        </w:trPr>
        <w:tc>
          <w:tcPr>
            <w:tcW w:w="2520" w:type="dxa"/>
            <w:vAlign w:val="bottom"/>
          </w:tcPr>
          <w:p>
            <w:pPr>
              <w:spacing w:after="0"/>
              <w:rPr>
                <w:sz w:val="15"/>
                <w:szCs w:val="15"/>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or in writing.</w:t>
            </w:r>
          </w:p>
        </w:tc>
      </w:tr>
      <w:tr>
        <w:trPr>
          <w:trHeight w:val="366"/>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Vacancies on the Board of Directors</w:t>
            </w: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Under English law, the procedure by which</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directors, other than a company’s initial</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9"/>
              </w:rPr>
              <w:t>directors, are appointed is generally set out in a</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8"/>
              </w:rPr>
              <w:t>company’s articles of association, provided that</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where two or more persons are appointed as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directors of a public limited company by</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resolution of the shareholders, resolutions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appointing each director must be voted on</w:t>
            </w:r>
          </w:p>
        </w:tc>
      </w:tr>
      <w:tr>
        <w:trPr>
          <w:trHeight w:val="175"/>
        </w:trPr>
        <w:tc>
          <w:tcPr>
            <w:tcW w:w="2520" w:type="dxa"/>
            <w:vAlign w:val="bottom"/>
          </w:tcPr>
          <w:p>
            <w:pPr>
              <w:spacing w:after="0"/>
              <w:rPr>
                <w:sz w:val="15"/>
                <w:szCs w:val="15"/>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individually.</w:t>
            </w:r>
          </w:p>
        </w:tc>
      </w:tr>
      <w:tr>
        <w:trPr>
          <w:trHeight w:val="856"/>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Annual General Meeting</w:t>
            </w: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Under the Companies Act, a public limited</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company must hold an annual general meeting</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in each six-month period following the</w:t>
            </w:r>
          </w:p>
        </w:tc>
      </w:tr>
      <w:tr>
        <w:trPr>
          <w:trHeight w:val="175"/>
        </w:trPr>
        <w:tc>
          <w:tcPr>
            <w:tcW w:w="2520" w:type="dxa"/>
            <w:vAlign w:val="bottom"/>
          </w:tcPr>
          <w:p>
            <w:pPr>
              <w:spacing w:after="0"/>
              <w:rPr>
                <w:sz w:val="15"/>
                <w:szCs w:val="15"/>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company’s annual accounting reference date.</w:t>
            </w:r>
          </w:p>
        </w:tc>
      </w:tr>
      <w:tr>
        <w:trPr>
          <w:trHeight w:val="529"/>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General Meeting</w:t>
            </w: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8"/>
              </w:rPr>
              <w:t>Under the Companies Act, a general meeting of</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the shareholders of a public limited company</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may be called by the directors. Shareholders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9"/>
              </w:rPr>
              <w:t>holding at least 5% of the paid-up capital of the</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company carrying voting rights at general</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9"/>
              </w:rPr>
              <w:t>meetings (excluding any paid up capital held as</w:t>
            </w:r>
          </w:p>
        </w:tc>
      </w:tr>
      <w:tr>
        <w:trPr>
          <w:trHeight w:val="163"/>
        </w:trPr>
        <w:tc>
          <w:tcPr>
            <w:tcW w:w="2520" w:type="dxa"/>
            <w:vAlign w:val="bottom"/>
          </w:tcPr>
          <w:p>
            <w:pPr>
              <w:spacing w:after="0"/>
              <w:rPr>
                <w:sz w:val="14"/>
                <w:szCs w:val="14"/>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w w:val="99"/>
              </w:rPr>
              <w:t>treasury shares) can require the directors to call</w:t>
            </w:r>
          </w:p>
        </w:tc>
      </w:tr>
      <w:tr>
        <w:trPr>
          <w:trHeight w:val="175"/>
        </w:trPr>
        <w:tc>
          <w:tcPr>
            <w:tcW w:w="2520" w:type="dxa"/>
            <w:vAlign w:val="bottom"/>
          </w:tcPr>
          <w:p>
            <w:pPr>
              <w:spacing w:after="0"/>
              <w:rPr>
                <w:sz w:val="15"/>
                <w:szCs w:val="15"/>
                <w:color w:val="auto"/>
              </w:rPr>
            </w:pPr>
          </w:p>
        </w:tc>
        <w:tc>
          <w:tcPr>
            <w:tcW w:w="3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a</w:t>
            </w:r>
          </w:p>
        </w:tc>
      </w:tr>
      <w:tr>
        <w:trPr>
          <w:trHeight w:val="276"/>
        </w:trPr>
        <w:tc>
          <w:tcPr>
            <w:tcW w:w="2520" w:type="dxa"/>
            <w:vAlign w:val="bottom"/>
          </w:tcPr>
          <w:p>
            <w:pPr>
              <w:spacing w:after="0"/>
              <w:rPr>
                <w:sz w:val="23"/>
                <w:szCs w:val="23"/>
                <w:color w:val="auto"/>
              </w:rPr>
            </w:pPr>
          </w:p>
        </w:tc>
        <w:tc>
          <w:tcPr>
            <w:tcW w:w="324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25</w:t>
            </w: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ind w:right="379"/>
        <w:spacing w:after="0" w:line="290" w:lineRule="auto"/>
        <w:rPr>
          <w:sz w:val="20"/>
          <w:szCs w:val="20"/>
          <w:color w:val="auto"/>
        </w:rPr>
      </w:pPr>
      <w:r>
        <w:rPr>
          <w:rFonts w:ascii="Times New Roman" w:cs="Times New Roman" w:eastAsia="Times New Roman" w:hAnsi="Times New Roman"/>
          <w:sz w:val="12"/>
          <w:szCs w:val="12"/>
          <w:color w:val="auto"/>
        </w:rPr>
        <w:t>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14" w:lineRule="exact"/>
        <w:rPr>
          <w:sz w:val="20"/>
          <w:szCs w:val="20"/>
          <w:color w:val="auto"/>
        </w:rPr>
      </w:pPr>
    </w:p>
    <w:p>
      <w:pPr>
        <w:ind w:right="399"/>
        <w:spacing w:after="0" w:line="289" w:lineRule="auto"/>
        <w:rPr>
          <w:sz w:val="20"/>
          <w:szCs w:val="20"/>
          <w:color w:val="auto"/>
        </w:rPr>
      </w:pPr>
      <w:r>
        <w:rPr>
          <w:rFonts w:ascii="Times New Roman" w:cs="Times New Roman" w:eastAsia="Times New Roman" w:hAnsi="Times New Roman"/>
          <w:sz w:val="12"/>
          <w:szCs w:val="12"/>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81" w:lineRule="exact"/>
        <w:rPr>
          <w:sz w:val="20"/>
          <w:szCs w:val="20"/>
          <w:color w:val="auto"/>
        </w:rPr>
      </w:pPr>
    </w:p>
    <w:p>
      <w:pPr>
        <w:ind w:right="399"/>
        <w:spacing w:after="0" w:line="297" w:lineRule="auto"/>
        <w:rPr>
          <w:sz w:val="20"/>
          <w:szCs w:val="20"/>
          <w:color w:val="auto"/>
        </w:rPr>
      </w:pPr>
      <w:r>
        <w:rPr>
          <w:rFonts w:ascii="Times New Roman" w:cs="Times New Roman" w:eastAsia="Times New Roman" w:hAnsi="Times New Roman"/>
          <w:sz w:val="12"/>
          <w:szCs w:val="12"/>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7" w:lineRule="exact"/>
        <w:rPr>
          <w:sz w:val="20"/>
          <w:szCs w:val="20"/>
          <w:color w:val="auto"/>
        </w:rPr>
      </w:pPr>
    </w:p>
    <w:p>
      <w:pPr>
        <w:ind w:right="359"/>
        <w:spacing w:after="0" w:line="300" w:lineRule="auto"/>
        <w:rPr>
          <w:sz w:val="20"/>
          <w:szCs w:val="20"/>
          <w:color w:val="auto"/>
        </w:rPr>
      </w:pPr>
      <w:r>
        <w:rPr>
          <w:rFonts w:ascii="Times New Roman" w:cs="Times New Roman" w:eastAsia="Times New Roman" w:hAnsi="Times New Roman"/>
          <w:sz w:val="12"/>
          <w:szCs w:val="12"/>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240" w:space="160"/>
            <w:col w:w="2759"/>
          </w:cols>
          <w:pgMar w:left="300" w:top="37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141"/>
        </w:trPr>
        <w:tc>
          <w:tcPr>
            <w:tcW w:w="2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w w:val="96"/>
              </w:rPr>
              <w:t>general meeting and, if the directors fail to do so</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within a certain period, may themselves convene</w:t>
            </w:r>
          </w:p>
        </w:tc>
      </w:tr>
      <w:tr>
        <w:trPr>
          <w:trHeight w:val="175"/>
        </w:trPr>
        <w:tc>
          <w:tcPr>
            <w:tcW w:w="2300" w:type="dxa"/>
            <w:vAlign w:val="bottom"/>
          </w:tcPr>
          <w:p>
            <w:pPr>
              <w:spacing w:after="0"/>
              <w:rPr>
                <w:sz w:val="15"/>
                <w:szCs w:val="15"/>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 general meeting.</w:t>
            </w: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Notice of General Meetings</w:t>
            </w: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Under the Companies Act, at least 21 clear days’</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notice must be given for an annual general</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meeting and any resolutions to be proposed at</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the meeting. Subject to a company’s articles of</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association providing for a longer period, at</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least 14 clear days’ notice is required for any</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other general meeting of a public limited</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company. In addition, certain matters, such as</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the removal of directors or auditors, require</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special notice, which is 28 clear days’ notice.</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8"/>
              </w:rPr>
              <w:t>The shareholders of a company may in all cases</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consent to a shorter notice period, the proportion</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of shareholders’ consent required being 100% of</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those entitled to attend and vote in the case of an</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annual general meeting and, in the case of any</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other general meeting, a majority in number of</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7"/>
              </w:rPr>
              <w:t>the members having a right to attend and vote at</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7"/>
              </w:rPr>
              <w:t>the meeting, being a majority who together hold</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7"/>
              </w:rPr>
              <w:t>not less than 95% in nominal value of the shares</w:t>
            </w:r>
          </w:p>
        </w:tc>
      </w:tr>
      <w:tr>
        <w:trPr>
          <w:trHeight w:val="175"/>
        </w:trPr>
        <w:tc>
          <w:tcPr>
            <w:tcW w:w="2300" w:type="dxa"/>
            <w:vAlign w:val="bottom"/>
          </w:tcPr>
          <w:p>
            <w:pPr>
              <w:spacing w:after="0"/>
              <w:rPr>
                <w:sz w:val="15"/>
                <w:szCs w:val="15"/>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9"/>
              </w:rPr>
              <w:t>giving a right to attend and vote at the meeting.</w:t>
            </w: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Quorum</w:t>
            </w: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6"/>
              </w:rPr>
              <w:t>Subject to the provisions of a company’s articles</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w w:val="98"/>
              </w:rPr>
              <w:t>of association, the Companies Act provides that</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two shareholders present at a meeting (in</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person, by proxy or authorized representative</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under the Companies Act) shall constitute a</w:t>
            </w:r>
          </w:p>
        </w:tc>
      </w:tr>
      <w:tr>
        <w:trPr>
          <w:trHeight w:val="163"/>
        </w:trPr>
        <w:tc>
          <w:tcPr>
            <w:tcW w:w="2300" w:type="dxa"/>
            <w:vAlign w:val="bottom"/>
          </w:tcPr>
          <w:p>
            <w:pPr>
              <w:spacing w:after="0"/>
              <w:rPr>
                <w:sz w:val="14"/>
                <w:szCs w:val="14"/>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quorum for companies with more than one</w:t>
            </w:r>
          </w:p>
        </w:tc>
      </w:tr>
      <w:tr>
        <w:trPr>
          <w:trHeight w:val="175"/>
        </w:trPr>
        <w:tc>
          <w:tcPr>
            <w:tcW w:w="2300" w:type="dxa"/>
            <w:vAlign w:val="bottom"/>
          </w:tcPr>
          <w:p>
            <w:pPr>
              <w:spacing w:after="0"/>
              <w:rPr>
                <w:sz w:val="15"/>
                <w:szCs w:val="15"/>
                <w:color w:val="auto"/>
              </w:rPr>
            </w:pPr>
          </w:p>
        </w:tc>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379"/>
        <w:spacing w:after="0" w:line="293" w:lineRule="auto"/>
        <w:rPr>
          <w:sz w:val="20"/>
          <w:szCs w:val="20"/>
          <w:color w:val="auto"/>
        </w:rPr>
      </w:pPr>
      <w:r>
        <w:rPr>
          <w:rFonts w:ascii="Times New Roman" w:cs="Times New Roman" w:eastAsia="Times New Roman" w:hAnsi="Times New Roman"/>
          <w:sz w:val="12"/>
          <w:szCs w:val="12"/>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59"/>
        <w:spacing w:after="0" w:line="245" w:lineRule="auto"/>
        <w:rPr>
          <w:sz w:val="20"/>
          <w:szCs w:val="20"/>
          <w:color w:val="auto"/>
        </w:rPr>
      </w:pPr>
      <w:r>
        <w:rPr>
          <w:rFonts w:ascii="Times New Roman" w:cs="Times New Roman" w:eastAsia="Times New Roman" w:hAnsi="Times New Roman"/>
          <w:sz w:val="14"/>
          <w:szCs w:val="14"/>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w:t>
      </w:r>
    </w:p>
    <w:p>
      <w:pPr>
        <w:sectPr>
          <w:pgSz w:w="11900" w:h="16838" w:orient="portrait"/>
          <w:cols w:equalWidth="0" w:num="2">
            <w:col w:w="7240" w:space="160"/>
            <w:col w:w="2759"/>
          </w:cols>
          <w:pgMar w:left="300" w:top="37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54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Proxy</w:t>
            </w:r>
          </w:p>
        </w:tc>
        <w:tc>
          <w:tcPr>
            <w:tcW w:w="406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Under the Companies Act, at any meeting of</w:t>
            </w:r>
          </w:p>
        </w:tc>
      </w:tr>
      <w:tr>
        <w:trPr>
          <w:trHeight w:val="163"/>
        </w:trPr>
        <w:tc>
          <w:tcPr>
            <w:tcW w:w="1700" w:type="dxa"/>
            <w:vAlign w:val="bottom"/>
          </w:tcPr>
          <w:p>
            <w:pPr>
              <w:spacing w:after="0"/>
              <w:rPr>
                <w:sz w:val="14"/>
                <w:szCs w:val="14"/>
                <w:color w:val="auto"/>
              </w:rPr>
            </w:pPr>
          </w:p>
        </w:tc>
        <w:tc>
          <w:tcPr>
            <w:tcW w:w="406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shareholders, a shareholder may designate</w:t>
            </w:r>
          </w:p>
        </w:tc>
      </w:tr>
      <w:tr>
        <w:trPr>
          <w:trHeight w:val="163"/>
        </w:trPr>
        <w:tc>
          <w:tcPr>
            <w:tcW w:w="1700" w:type="dxa"/>
            <w:vAlign w:val="bottom"/>
          </w:tcPr>
          <w:p>
            <w:pPr>
              <w:spacing w:after="0"/>
              <w:rPr>
                <w:sz w:val="14"/>
                <w:szCs w:val="14"/>
                <w:color w:val="auto"/>
              </w:rPr>
            </w:pPr>
          </w:p>
        </w:tc>
        <w:tc>
          <w:tcPr>
            <w:tcW w:w="406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another person to attend, speak and vote at the</w:t>
            </w:r>
          </w:p>
        </w:tc>
      </w:tr>
      <w:tr>
        <w:trPr>
          <w:trHeight w:val="175"/>
        </w:trPr>
        <w:tc>
          <w:tcPr>
            <w:tcW w:w="1700" w:type="dxa"/>
            <w:vAlign w:val="bottom"/>
          </w:tcPr>
          <w:p>
            <w:pPr>
              <w:spacing w:after="0"/>
              <w:rPr>
                <w:sz w:val="15"/>
                <w:szCs w:val="15"/>
                <w:color w:val="auto"/>
              </w:rPr>
            </w:pPr>
          </w:p>
        </w:tc>
        <w:tc>
          <w:tcPr>
            <w:tcW w:w="406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meeting on their behalf by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80"/>
        <w:spacing w:after="0"/>
        <w:tabs>
          <w:tab w:leader="none" w:pos="4560" w:val="left"/>
        </w:tabs>
        <w:rPr>
          <w:sz w:val="20"/>
          <w:szCs w:val="20"/>
          <w:color w:val="auto"/>
        </w:rPr>
      </w:pPr>
      <w:r>
        <w:rPr>
          <w:rFonts w:ascii="Times New Roman" w:cs="Times New Roman" w:eastAsia="Times New Roman" w:hAnsi="Times New Roman"/>
          <w:sz w:val="14"/>
          <w:szCs w:val="14"/>
          <w:color w:val="auto"/>
        </w:rPr>
        <w:t>Preemptive Rights</w:t>
      </w:r>
      <w:r>
        <w:rPr>
          <w:sz w:val="20"/>
          <w:szCs w:val="20"/>
          <w:color w:val="auto"/>
        </w:rPr>
        <w:tab/>
      </w:r>
      <w:r>
        <w:rPr>
          <w:rFonts w:ascii="Times New Roman" w:cs="Times New Roman" w:eastAsia="Times New Roman" w:hAnsi="Times New Roman"/>
          <w:sz w:val="12"/>
          <w:szCs w:val="12"/>
          <w:color w:val="auto"/>
        </w:rPr>
        <w:t>Under the Companies Act, “equity securities,”</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being (i) shares in the company other than</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shares that, with respect to dividends and</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capital, carry a right to participate only up to a</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specified amount in a distribution, referred to as</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“ordinary shares,” or (ii) rights to subscribe for,</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or to convert securities into, ordinary shares,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proposed to be allotted for cash must be offered</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first to the existing equity shareholders in the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company in proportion to the respective nominal</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value of their holdings, unless an exception</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applies or a special resolution to the contrary has</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been passed by shareholders in a general</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meeting or the articles of association provide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otherwise in each case in accordance with the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provisions of the Companies Act.</w:t>
      </w:r>
    </w:p>
    <w:p>
      <w:pPr>
        <w:spacing w:after="0" w:line="72" w:lineRule="exact"/>
        <w:rPr>
          <w:sz w:val="20"/>
          <w:szCs w:val="20"/>
          <w:color w:val="auto"/>
        </w:rPr>
      </w:pPr>
    </w:p>
    <w:p>
      <w:pPr>
        <w:ind w:left="1480"/>
        <w:spacing w:after="0"/>
        <w:tabs>
          <w:tab w:leader="none" w:pos="4560" w:val="left"/>
        </w:tabs>
        <w:rPr>
          <w:sz w:val="20"/>
          <w:szCs w:val="20"/>
          <w:color w:val="auto"/>
        </w:rPr>
      </w:pPr>
      <w:r>
        <w:rPr>
          <w:rFonts w:ascii="Times New Roman" w:cs="Times New Roman" w:eastAsia="Times New Roman" w:hAnsi="Times New Roman"/>
          <w:sz w:val="14"/>
          <w:szCs w:val="14"/>
          <w:color w:val="auto"/>
        </w:rPr>
        <w:t>Authority to Allot</w:t>
      </w:r>
      <w:r>
        <w:rPr>
          <w:sz w:val="20"/>
          <w:szCs w:val="20"/>
          <w:color w:val="auto"/>
        </w:rPr>
        <w:tab/>
      </w:r>
      <w:r>
        <w:rPr>
          <w:rFonts w:ascii="Times New Roman" w:cs="Times New Roman" w:eastAsia="Times New Roman" w:hAnsi="Times New Roman"/>
          <w:sz w:val="12"/>
          <w:szCs w:val="12"/>
          <w:color w:val="auto"/>
        </w:rPr>
        <w:t>Under the Companies Act, the directors of a</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company must not allot shares or grant rights to</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subscribe for or convert any security into shares</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unless an exception applies or an ordinary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resolution to the contrary has been passed by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shareholders in a general meeting or the articles</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of association provide otherwise, in</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ind w:right="839"/>
        <w:spacing w:after="0" w:line="259" w:lineRule="auto"/>
        <w:rPr>
          <w:sz w:val="20"/>
          <w:szCs w:val="20"/>
          <w:color w:val="auto"/>
        </w:rPr>
      </w:pPr>
      <w:r>
        <w:rPr>
          <w:rFonts w:ascii="Times New Roman" w:cs="Times New Roman" w:eastAsia="Times New Roman" w:hAnsi="Times New Roman"/>
          <w:sz w:val="14"/>
          <w:szCs w:val="14"/>
          <w:color w:val="auto"/>
        </w:rPr>
        <w:t>constitute a quorum at a meeting of stockholders.</w:t>
      </w:r>
    </w:p>
    <w:p>
      <w:pPr>
        <w:spacing w:after="0" w:line="57" w:lineRule="exact"/>
        <w:rPr>
          <w:sz w:val="20"/>
          <w:szCs w:val="20"/>
          <w:color w:val="auto"/>
        </w:rPr>
      </w:pPr>
    </w:p>
    <w:p>
      <w:pPr>
        <w:ind w:right="359"/>
        <w:spacing w:after="0" w:line="245" w:lineRule="auto"/>
        <w:rPr>
          <w:sz w:val="20"/>
          <w:szCs w:val="20"/>
          <w:color w:val="auto"/>
        </w:rPr>
      </w:pPr>
      <w:r>
        <w:rPr>
          <w:rFonts w:ascii="Times New Roman" w:cs="Times New Roman" w:eastAsia="Times New Roman" w:hAnsi="Times New Roman"/>
          <w:sz w:val="14"/>
          <w:szCs w:val="14"/>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2" w:lineRule="exact"/>
        <w:rPr>
          <w:sz w:val="20"/>
          <w:szCs w:val="20"/>
          <w:color w:val="auto"/>
        </w:rPr>
      </w:pPr>
    </w:p>
    <w:p>
      <w:pPr>
        <w:ind w:right="399"/>
        <w:spacing w:after="0" w:line="247" w:lineRule="auto"/>
        <w:rPr>
          <w:sz w:val="20"/>
          <w:szCs w:val="20"/>
          <w:color w:val="auto"/>
        </w:rPr>
      </w:pPr>
      <w:r>
        <w:rPr>
          <w:rFonts w:ascii="Times New Roman" w:cs="Times New Roman" w:eastAsia="Times New Roman" w:hAnsi="Times New Roman"/>
          <w:sz w:val="14"/>
          <w:szCs w:val="14"/>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79"/>
        <w:spacing w:after="0" w:line="295" w:lineRule="auto"/>
        <w:rPr>
          <w:sz w:val="20"/>
          <w:szCs w:val="20"/>
          <w:color w:val="auto"/>
        </w:rPr>
      </w:pPr>
      <w:r>
        <w:rPr>
          <w:rFonts w:ascii="Times New Roman" w:cs="Times New Roman" w:eastAsia="Times New Roman" w:hAnsi="Times New Roman"/>
          <w:sz w:val="12"/>
          <w:szCs w:val="12"/>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w:t>
      </w:r>
    </w:p>
    <w:p>
      <w:pPr>
        <w:sectPr>
          <w:pgSz w:w="11900" w:h="16838" w:orient="portrait"/>
          <w:cols w:equalWidth="0" w:num="2">
            <w:col w:w="7240" w:space="160"/>
            <w:col w:w="2759"/>
          </w:cols>
          <w:pgMar w:left="300" w:top="37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1"/>
          <w:szCs w:val="11"/>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9525</wp:posOffset>
            </wp:positionV>
            <wp:extent cx="16922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92275" cy="6350"/>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4"/>
          <w:szCs w:val="14"/>
          <w:color w:val="auto"/>
        </w:rPr>
        <w:t>each case in accordance with the provisions of</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the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80"/>
        <w:spacing w:after="0"/>
        <w:tabs>
          <w:tab w:leader="none" w:pos="4560" w:val="left"/>
        </w:tabs>
        <w:rPr>
          <w:sz w:val="20"/>
          <w:szCs w:val="20"/>
          <w:color w:val="auto"/>
        </w:rPr>
      </w:pPr>
      <w:r>
        <w:rPr>
          <w:rFonts w:ascii="Times New Roman" w:cs="Times New Roman" w:eastAsia="Times New Roman" w:hAnsi="Times New Roman"/>
          <w:sz w:val="14"/>
          <w:szCs w:val="14"/>
          <w:color w:val="auto"/>
        </w:rPr>
        <w:t>Liability of Directors and Officers</w:t>
      </w:r>
      <w:r>
        <w:rPr>
          <w:sz w:val="20"/>
          <w:szCs w:val="20"/>
          <w:color w:val="auto"/>
        </w:rPr>
        <w:tab/>
      </w:r>
      <w:r>
        <w:rPr>
          <w:rFonts w:ascii="Times New Roman" w:cs="Times New Roman" w:eastAsia="Times New Roman" w:hAnsi="Times New Roman"/>
          <w:sz w:val="12"/>
          <w:szCs w:val="12"/>
          <w:color w:val="auto"/>
        </w:rPr>
        <w:t>Under the Companies Act, any provision,</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whether contained in a company’s articles of</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association or any contract or otherwise, that</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purports to exempt a director of a company, to</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any extent, from any liability that would</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otherwise attach to him in connection with any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negligence, default, breach of duty or breach of</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trust in relation to the company, is void.</w:t>
      </w:r>
    </w:p>
    <w:p>
      <w:pPr>
        <w:spacing w:after="0" w:line="8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Any provision by which a company directly or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indirectly provides an indemnity, to any extent,</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for a director of the company or of an associated</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company against any liability attaching to him in</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connection with any negligence, default, breach</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of duty or breach of trust in relation to the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company of which he is a director is also void</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except as permitted by the Companies Act,</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which provides exceptions for the company to</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(i) purchase and maintain insurance against such</w:t>
      </w:r>
    </w:p>
    <w:p>
      <w:pPr>
        <w:spacing w:after="0" w:line="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liability; (ii) provide a “qualifying third party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indemnity,” or an indemnity against liability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incurred by the director to a person other than</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the company or an associated company or</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criminal proceedings in which he is convicted;</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and (iii) provide a “qualifying pension scheme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indemnity,” or an indemnity against liability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incurred in connection with the company’s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activities as trustee of an occupational pension</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plan.</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ind w:right="399"/>
        <w:spacing w:after="0" w:line="246" w:lineRule="auto"/>
        <w:rPr>
          <w:sz w:val="20"/>
          <w:szCs w:val="20"/>
          <w:color w:val="auto"/>
        </w:rPr>
      </w:pPr>
      <w:r>
        <w:rPr>
          <w:rFonts w:ascii="Times New Roman" w:cs="Times New Roman" w:eastAsia="Times New Roman" w:hAnsi="Times New Roman"/>
          <w:sz w:val="14"/>
          <w:szCs w:val="14"/>
          <w:color w:val="auto"/>
        </w:rPr>
        <w:t>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67" w:lineRule="exact"/>
        <w:rPr>
          <w:sz w:val="20"/>
          <w:szCs w:val="20"/>
          <w:color w:val="auto"/>
        </w:rPr>
      </w:pPr>
    </w:p>
    <w:p>
      <w:pPr>
        <w:ind w:right="419"/>
        <w:spacing w:after="0" w:line="294" w:lineRule="auto"/>
        <w:rPr>
          <w:sz w:val="20"/>
          <w:szCs w:val="20"/>
          <w:color w:val="auto"/>
        </w:rPr>
      </w:pPr>
      <w:r>
        <w:rPr>
          <w:rFonts w:ascii="Times New Roman" w:cs="Times New Roman" w:eastAsia="Times New Roman" w:hAnsi="Times New Roman"/>
          <w:sz w:val="12"/>
          <w:szCs w:val="12"/>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16" w:lineRule="exact"/>
        <w:rPr>
          <w:sz w:val="20"/>
          <w:szCs w:val="20"/>
          <w:color w:val="auto"/>
        </w:rPr>
      </w:pPr>
    </w:p>
    <w:p>
      <w:pPr>
        <w:ind w:left="540" w:right="379" w:hanging="199"/>
        <w:spacing w:after="0" w:line="254"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the corporation or its stockholders;</w:t>
      </w:r>
    </w:p>
    <w:p>
      <w:pPr>
        <w:spacing w:after="0" w:line="70" w:lineRule="exact"/>
        <w:rPr>
          <w:rFonts w:ascii="Times New Roman" w:cs="Times New Roman" w:eastAsia="Times New Roman" w:hAnsi="Times New Roman"/>
          <w:sz w:val="14"/>
          <w:szCs w:val="14"/>
          <w:color w:val="auto"/>
        </w:rPr>
      </w:pPr>
    </w:p>
    <w:p>
      <w:pPr>
        <w:ind w:left="540" w:right="519" w:hanging="199"/>
        <w:spacing w:after="0" w:line="250"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74" w:lineRule="exact"/>
        <w:rPr>
          <w:rFonts w:ascii="Times New Roman" w:cs="Times New Roman" w:eastAsia="Times New Roman" w:hAnsi="Times New Roman"/>
          <w:sz w:val="14"/>
          <w:szCs w:val="14"/>
          <w:color w:val="auto"/>
        </w:rPr>
      </w:pPr>
    </w:p>
    <w:p>
      <w:pPr>
        <w:ind w:left="540" w:right="439" w:hanging="199"/>
        <w:spacing w:after="0" w:line="316" w:lineRule="auto"/>
        <w:tabs>
          <w:tab w:leader="none" w:pos="5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intentional or negligent payment of unlawful dividends or stock purchases or redemptions; or</w:t>
      </w:r>
    </w:p>
    <w:p>
      <w:pPr>
        <w:spacing w:after="0" w:line="37" w:lineRule="exact"/>
        <w:rPr>
          <w:rFonts w:ascii="Times New Roman" w:cs="Times New Roman" w:eastAsia="Times New Roman" w:hAnsi="Times New Roman"/>
          <w:sz w:val="12"/>
          <w:szCs w:val="12"/>
          <w:color w:val="auto"/>
        </w:rPr>
      </w:pPr>
    </w:p>
    <w:p>
      <w:pPr>
        <w:ind w:left="540" w:right="519" w:hanging="199"/>
        <w:spacing w:after="0" w:line="254" w:lineRule="auto"/>
        <w:tabs>
          <w:tab w:leader="none" w:pos="5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derives an improper personal benefit.</w:t>
      </w:r>
    </w:p>
    <w:p>
      <w:pPr>
        <w:sectPr>
          <w:pgSz w:w="11900" w:h="16838" w:orient="portrait"/>
          <w:cols w:equalWidth="0" w:num="2">
            <w:col w:w="7240" w:space="160"/>
            <w:col w:w="2759"/>
          </w:cols>
          <w:pgMar w:left="300" w:top="37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Voting Rights</w:t>
            </w: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6"/>
              </w:rPr>
              <w:t>Under English law, unless a poll is demanded by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8"/>
              </w:rPr>
              <w:t>the shareholders of a company or is required by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the chairman of the meeting or the company’s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6"/>
              </w:rPr>
              <w:t>articles of association, shareholders shall vote on</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all resolutions on a show of hands. Under the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Companies Act, a poll may be demanded by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(i) not fewer than five shareholders having the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right to vote on the resolution; (ii) any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7"/>
              </w:rPr>
              <w:t>shareholder(s) representing not less than 10% of</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the total voting rights of all the shareholders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having the right to vote on the resolution</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(excluding any voting rights attaching to</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treasury shares); or (iii) any shareholder(s)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6"/>
              </w:rPr>
              <w:t>holding shares in the company conferring a right</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to vote on the resolution (excluding any voting</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rights attaching to treasury shares) being shares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on which an aggregate sum has been paid up</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equal to not less than 10% of the total sum paid</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up on all the shares conferring that right. A</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company’s articles of association may provide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more extensive rights for shareholders to call a</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poll. Under English law, an ordinary resolution</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7"/>
              </w:rPr>
              <w:t>is passed on a show of hands if it is approved by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a simple majority (more than 50%) of the votes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cast by shareholders present (in person or by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proxy) and entitled to vote. If a poll is</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demanded, an ordinary resolution is passed if it</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is approved by holders representing a simple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majority of the total voting rights of</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shareholders present, in person or by proxy,</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who, being entitled to vote, vote on the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resolution. Special resolutions require the</w:t>
            </w:r>
          </w:p>
        </w:tc>
      </w:tr>
      <w:tr>
        <w:trPr>
          <w:trHeight w:val="163"/>
        </w:trPr>
        <w:tc>
          <w:tcPr>
            <w:tcW w:w="1920" w:type="dxa"/>
            <w:vAlign w:val="bottom"/>
          </w:tcPr>
          <w:p>
            <w:pPr>
              <w:spacing w:after="0"/>
              <w:rPr>
                <w:sz w:val="14"/>
                <w:szCs w:val="14"/>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affirmative vote of not less than 75% of the</w:t>
            </w:r>
          </w:p>
        </w:tc>
      </w:tr>
      <w:tr>
        <w:trPr>
          <w:trHeight w:val="175"/>
        </w:trPr>
        <w:tc>
          <w:tcPr>
            <w:tcW w:w="1920" w:type="dxa"/>
            <w:vAlign w:val="bottom"/>
          </w:tcPr>
          <w:p>
            <w:pPr>
              <w:spacing w:after="0"/>
              <w:rPr>
                <w:sz w:val="15"/>
                <w:szCs w:val="15"/>
                <w:color w:val="auto"/>
              </w:rPr>
            </w:pPr>
          </w:p>
        </w:tc>
        <w:tc>
          <w:tcPr>
            <w:tcW w:w="384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w w:val="99"/>
              </w:rPr>
              <w:t>votes cast by shareholders present, in person or</w:t>
            </w:r>
          </w:p>
        </w:tc>
      </w:tr>
      <w:tr>
        <w:trPr>
          <w:trHeight w:val="276"/>
        </w:trPr>
        <w:tc>
          <w:tcPr>
            <w:tcW w:w="1920" w:type="dxa"/>
            <w:vAlign w:val="bottom"/>
          </w:tcPr>
          <w:p>
            <w:pPr>
              <w:spacing w:after="0"/>
              <w:rPr>
                <w:sz w:val="23"/>
                <w:szCs w:val="23"/>
                <w:color w:val="auto"/>
              </w:rPr>
            </w:pPr>
          </w:p>
        </w:tc>
        <w:tc>
          <w:tcPr>
            <w:tcW w:w="3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29</w:t>
            </w: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spacing w:after="0" w:line="64" w:lineRule="exact"/>
        <w:rPr>
          <w:sz w:val="20"/>
          <w:szCs w:val="20"/>
          <w:color w:val="auto"/>
        </w:rPr>
      </w:pPr>
    </w:p>
    <w:p>
      <w:pPr>
        <w:ind w:right="479"/>
        <w:spacing w:after="0" w:line="248"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240" w:space="160"/>
            <w:col w:w="2759"/>
          </w:cols>
          <w:pgMar w:left="300" w:top="37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141"/>
        </w:trPr>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w w:val="96"/>
              </w:rPr>
              <w:t>by proxy, at the meeting. If a poll is demanded, a</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special resolution is passed if it is approved by</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holders representing not less than 75% of the</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voting rights of shareholders in person or</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96"/>
              </w:rPr>
              <w:t>by proxy who, being entitled to vote, vote on the</w:t>
            </w:r>
          </w:p>
        </w:tc>
      </w:tr>
      <w:tr>
        <w:trPr>
          <w:trHeight w:val="175"/>
        </w:trPr>
        <w:tc>
          <w:tcPr>
            <w:tcW w:w="2680" w:type="dxa"/>
            <w:vAlign w:val="bottom"/>
          </w:tcPr>
          <w:p>
            <w:pPr>
              <w:spacing w:after="0"/>
              <w:rPr>
                <w:sz w:val="15"/>
                <w:szCs w:val="15"/>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resolution.</w:t>
            </w:r>
          </w:p>
        </w:tc>
      </w:tr>
      <w:tr>
        <w:trPr>
          <w:trHeight w:val="23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Shareholder Vote on Certain Transactions</w:t>
            </w: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The Companies Act provides for schemes of</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arrangement, which are arrangements or</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98"/>
              </w:rPr>
              <w:t>compromises between a company and any class</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of shareholders or creditors and used in certain</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97"/>
              </w:rPr>
              <w:t>types of reconstructions, amalgamations, capital</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reorganizations or takeovers. These</w:t>
            </w:r>
          </w:p>
        </w:tc>
      </w:tr>
      <w:tr>
        <w:trPr>
          <w:trHeight w:val="175"/>
        </w:trPr>
        <w:tc>
          <w:tcPr>
            <w:tcW w:w="2680" w:type="dxa"/>
            <w:vAlign w:val="bottom"/>
          </w:tcPr>
          <w:p>
            <w:pPr>
              <w:spacing w:after="0"/>
              <w:rPr>
                <w:sz w:val="15"/>
                <w:szCs w:val="15"/>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arrangements require:</w:t>
            </w:r>
          </w:p>
        </w:tc>
      </w:tr>
      <w:tr>
        <w:trPr>
          <w:trHeight w:val="243"/>
        </w:trPr>
        <w:tc>
          <w:tcPr>
            <w:tcW w:w="2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the approval at a shareholders’ or</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creditors’ meeting convened by order</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of the court, of a majority in number</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of shareholders or creditors</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representing 75% in value of the</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capital held by, or debt owed to, the</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class of shareholders or creditors, or</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7"/>
              </w:rPr>
              <w:t>class thereof present and voting, either</w:t>
            </w:r>
          </w:p>
        </w:tc>
      </w:tr>
      <w:tr>
        <w:trPr>
          <w:trHeight w:val="175"/>
        </w:trPr>
        <w:tc>
          <w:tcPr>
            <w:tcW w:w="2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 person or by proxy; and</w:t>
            </w:r>
          </w:p>
        </w:tc>
      </w:tr>
      <w:tr>
        <w:trPr>
          <w:trHeight w:val="255"/>
        </w:trPr>
        <w:tc>
          <w:tcPr>
            <w:tcW w:w="2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the approval of the court.</w:t>
            </w:r>
          </w:p>
        </w:tc>
      </w:tr>
      <w:tr>
        <w:trPr>
          <w:trHeight w:val="397"/>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Standard of Conduct for Directors</w:t>
            </w: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Under English law, a director owes various</w:t>
            </w:r>
          </w:p>
        </w:tc>
      </w:tr>
      <w:tr>
        <w:trPr>
          <w:trHeight w:val="163"/>
        </w:trPr>
        <w:tc>
          <w:tcPr>
            <w:tcW w:w="2680" w:type="dxa"/>
            <w:vAlign w:val="bottom"/>
          </w:tcPr>
          <w:p>
            <w:pPr>
              <w:spacing w:after="0"/>
              <w:rPr>
                <w:sz w:val="14"/>
                <w:szCs w:val="14"/>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statutory and fiduciary duties to the company,</w:t>
            </w:r>
          </w:p>
        </w:tc>
      </w:tr>
      <w:tr>
        <w:trPr>
          <w:trHeight w:val="175"/>
        </w:trPr>
        <w:tc>
          <w:tcPr>
            <w:tcW w:w="2680" w:type="dxa"/>
            <w:vAlign w:val="bottom"/>
          </w:tcPr>
          <w:p>
            <w:pPr>
              <w:spacing w:after="0"/>
              <w:rPr>
                <w:sz w:val="15"/>
                <w:szCs w:val="15"/>
                <w:color w:val="auto"/>
              </w:rPr>
            </w:pPr>
          </w:p>
        </w:tc>
        <w:tc>
          <w:tcPr>
            <w:tcW w:w="3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including:</w:t>
            </w:r>
          </w:p>
        </w:tc>
      </w:tr>
      <w:tr>
        <w:trPr>
          <w:trHeight w:val="243"/>
        </w:trPr>
        <w:tc>
          <w:tcPr>
            <w:tcW w:w="2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to act in the way he considers, in good</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7"/>
              </w:rPr>
              <w:t>faith, would be most likely to promote</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the success of the company for the</w:t>
            </w:r>
          </w:p>
        </w:tc>
      </w:tr>
      <w:tr>
        <w:trPr>
          <w:trHeight w:val="163"/>
        </w:trPr>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7"/>
              </w:rPr>
              <w:t>benefit of its members as a whole, and</w:t>
            </w:r>
          </w:p>
        </w:tc>
      </w:tr>
      <w:tr>
        <w:trPr>
          <w:trHeight w:val="175"/>
        </w:trPr>
        <w:tc>
          <w:tcPr>
            <w:tcW w:w="2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 doing so have</w:t>
            </w:r>
          </w:p>
        </w:tc>
      </w:tr>
      <w:tr>
        <w:trPr>
          <w:trHeight w:val="511"/>
        </w:trPr>
        <w:tc>
          <w:tcPr>
            <w:tcW w:w="2680" w:type="dxa"/>
            <w:vAlign w:val="bottom"/>
          </w:tcPr>
          <w:p>
            <w:pPr>
              <w:spacing w:after="0"/>
              <w:rPr>
                <w:sz w:val="24"/>
                <w:szCs w:val="24"/>
                <w:color w:val="auto"/>
              </w:rPr>
            </w:pPr>
          </w:p>
        </w:tc>
        <w:tc>
          <w:tcPr>
            <w:tcW w:w="308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30</w:t>
            </w: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79"/>
        <w:spacing w:after="0" w:line="247" w:lineRule="auto"/>
        <w:rPr>
          <w:sz w:val="20"/>
          <w:szCs w:val="20"/>
          <w:color w:val="auto"/>
        </w:rPr>
      </w:pPr>
      <w:r>
        <w:rPr>
          <w:rFonts w:ascii="Times New Roman" w:cs="Times New Roman" w:eastAsia="Times New Roman" w:hAnsi="Times New Roman"/>
          <w:sz w:val="14"/>
          <w:szCs w:val="14"/>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76" w:lineRule="exact"/>
        <w:rPr>
          <w:sz w:val="20"/>
          <w:szCs w:val="20"/>
          <w:color w:val="auto"/>
        </w:rPr>
      </w:pPr>
    </w:p>
    <w:p>
      <w:pPr>
        <w:ind w:left="540" w:right="699" w:hanging="199"/>
        <w:spacing w:after="0" w:line="264" w:lineRule="auto"/>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the board of directors; and</w:t>
      </w:r>
    </w:p>
    <w:p>
      <w:pPr>
        <w:spacing w:after="0" w:line="64" w:lineRule="exact"/>
        <w:rPr>
          <w:rFonts w:ascii="Times New Roman" w:cs="Times New Roman" w:eastAsia="Times New Roman" w:hAnsi="Times New Roman"/>
          <w:sz w:val="14"/>
          <w:szCs w:val="14"/>
          <w:color w:val="auto"/>
        </w:rPr>
      </w:pPr>
    </w:p>
    <w:p>
      <w:pPr>
        <w:ind w:left="540" w:right="359" w:hanging="199"/>
        <w:spacing w:after="0" w:line="246" w:lineRule="auto"/>
        <w:tabs>
          <w:tab w:leader="none" w:pos="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67" w:lineRule="exact"/>
        <w:rPr>
          <w:sz w:val="20"/>
          <w:szCs w:val="20"/>
          <w:color w:val="auto"/>
        </w:rPr>
      </w:pPr>
    </w:p>
    <w:p>
      <w:pPr>
        <w:ind w:right="419"/>
        <w:spacing w:after="0" w:line="292" w:lineRule="auto"/>
        <w:rPr>
          <w:sz w:val="20"/>
          <w:szCs w:val="20"/>
          <w:color w:val="auto"/>
        </w:rPr>
      </w:pPr>
      <w:r>
        <w:rPr>
          <w:rFonts w:ascii="Times New Roman" w:cs="Times New Roman" w:eastAsia="Times New Roman" w:hAnsi="Times New Roman"/>
          <w:sz w:val="12"/>
          <w:szCs w:val="12"/>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 Directors of a</w:t>
      </w:r>
    </w:p>
    <w:p>
      <w:pPr>
        <w:sectPr>
          <w:pgSz w:w="11900" w:h="16838" w:orient="portrait"/>
          <w:cols w:equalWidth="0" w:num="2">
            <w:col w:w="7240" w:space="160"/>
            <w:col w:w="2759"/>
          </w:cols>
          <w:pgMar w:left="300" w:top="37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1"/>
          <w:szCs w:val="11"/>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9525</wp:posOffset>
            </wp:positionV>
            <wp:extent cx="16922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92275" cy="6350"/>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12"/>
          <w:szCs w:val="12"/>
          <w:color w:val="auto"/>
        </w:rPr>
        <w:t>regard (amongst other matters) to: (i) the likely</w:t>
      </w:r>
    </w:p>
    <w:p>
      <w:pPr>
        <w:spacing w:after="0" w:line="3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consequences of any decision in the long-term,</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(ii) the interests of the company’s employees,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(iii) the need to foster the company’s business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relationships with suppliers, customers and</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others, (iv) the impact of the company’s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operations on the community and the</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environment, (v) the desirability to maintain a</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reputation for high standards of business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conduct, and (vi) the need to act fairly as</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between members of the company;</w:t>
      </w:r>
    </w:p>
    <w:p>
      <w:pPr>
        <w:spacing w:after="0" w:line="82" w:lineRule="exact"/>
        <w:rPr>
          <w:sz w:val="20"/>
          <w:szCs w:val="20"/>
          <w:color w:val="auto"/>
        </w:rPr>
      </w:pPr>
    </w:p>
    <w:p>
      <w:pPr>
        <w:ind w:left="4920"/>
        <w:spacing w:after="0"/>
        <w:tabs>
          <w:tab w:leader="none" w:pos="5100" w:val="left"/>
        </w:tabs>
        <w:rPr>
          <w:sz w:val="20"/>
          <w:szCs w:val="20"/>
          <w:color w:val="auto"/>
        </w:rPr>
      </w:pPr>
      <w:r>
        <w:rPr>
          <w:rFonts w:ascii="Times New Roman" w:cs="Times New Roman" w:eastAsia="Times New Roman" w:hAnsi="Times New Roman"/>
          <w:sz w:val="12"/>
          <w:szCs w:val="12"/>
          <w:color w:val="auto"/>
        </w:rPr>
        <w:t>•</w:t>
        <w:tab/>
        <w:t>to avoid a situation in which he has, or</w:t>
      </w:r>
    </w:p>
    <w:p>
      <w:pPr>
        <w:spacing w:after="0" w:line="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can have, a direct or indirect interest</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that conflicts, or possibly conflicts,</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with the interests of the company;</w:t>
      </w:r>
    </w:p>
    <w:p>
      <w:pPr>
        <w:spacing w:after="0" w:line="82" w:lineRule="exact"/>
        <w:rPr>
          <w:sz w:val="20"/>
          <w:szCs w:val="20"/>
          <w:color w:val="auto"/>
        </w:rPr>
      </w:pPr>
    </w:p>
    <w:p>
      <w:pPr>
        <w:ind w:left="4920"/>
        <w:spacing w:after="0"/>
        <w:tabs>
          <w:tab w:leader="none" w:pos="5100" w:val="left"/>
        </w:tabs>
        <w:rPr>
          <w:sz w:val="20"/>
          <w:szCs w:val="20"/>
          <w:color w:val="auto"/>
        </w:rPr>
      </w:pPr>
      <w:r>
        <w:rPr>
          <w:rFonts w:ascii="Times New Roman" w:cs="Times New Roman" w:eastAsia="Times New Roman" w:hAnsi="Times New Roman"/>
          <w:sz w:val="14"/>
          <w:szCs w:val="14"/>
          <w:color w:val="auto"/>
        </w:rPr>
        <w:t>•</w:t>
        <w:tab/>
        <w:t>to act in accordance with the</w:t>
      </w:r>
    </w:p>
    <w:p>
      <w:pPr>
        <w:spacing w:after="0" w:line="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company’s constitution and only</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exercise his powers for the purposes</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for which they are conferred;</w:t>
      </w:r>
    </w:p>
    <w:p>
      <w:pPr>
        <w:spacing w:after="0" w:line="82" w:lineRule="exact"/>
        <w:rPr>
          <w:sz w:val="20"/>
          <w:szCs w:val="20"/>
          <w:color w:val="auto"/>
        </w:rPr>
      </w:pPr>
    </w:p>
    <w:p>
      <w:pPr>
        <w:ind w:left="4920"/>
        <w:spacing w:after="0"/>
        <w:tabs>
          <w:tab w:leader="none" w:pos="5100" w:val="left"/>
        </w:tabs>
        <w:rPr>
          <w:sz w:val="20"/>
          <w:szCs w:val="20"/>
          <w:color w:val="auto"/>
        </w:rPr>
      </w:pPr>
      <w:r>
        <w:rPr>
          <w:rFonts w:ascii="Times New Roman" w:cs="Times New Roman" w:eastAsia="Times New Roman" w:hAnsi="Times New Roman"/>
          <w:sz w:val="14"/>
          <w:szCs w:val="14"/>
          <w:color w:val="auto"/>
        </w:rPr>
        <w:t>•</w:t>
        <w:tab/>
        <w:t>to exercise independent judgment;</w:t>
      </w:r>
    </w:p>
    <w:p>
      <w:pPr>
        <w:spacing w:after="0" w:line="94" w:lineRule="exact"/>
        <w:rPr>
          <w:sz w:val="20"/>
          <w:szCs w:val="20"/>
          <w:color w:val="auto"/>
        </w:rPr>
      </w:pPr>
    </w:p>
    <w:p>
      <w:pPr>
        <w:ind w:left="4920"/>
        <w:spacing w:after="0"/>
        <w:tabs>
          <w:tab w:leader="none" w:pos="5100" w:val="left"/>
        </w:tabs>
        <w:rPr>
          <w:sz w:val="20"/>
          <w:szCs w:val="20"/>
          <w:color w:val="auto"/>
        </w:rPr>
      </w:pPr>
      <w:r>
        <w:rPr>
          <w:rFonts w:ascii="Times New Roman" w:cs="Times New Roman" w:eastAsia="Times New Roman" w:hAnsi="Times New Roman"/>
          <w:sz w:val="14"/>
          <w:szCs w:val="14"/>
          <w:color w:val="auto"/>
        </w:rPr>
        <w:t>•</w:t>
        <w:tab/>
        <w:t>to exercise reasonable care, skill and</w:t>
      </w:r>
    </w:p>
    <w:p>
      <w:pPr>
        <w:spacing w:after="0" w:line="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diligence;</w:t>
      </w:r>
    </w:p>
    <w:p>
      <w:pPr>
        <w:spacing w:after="0" w:line="82" w:lineRule="exact"/>
        <w:rPr>
          <w:sz w:val="20"/>
          <w:szCs w:val="20"/>
          <w:color w:val="auto"/>
        </w:rPr>
      </w:pPr>
    </w:p>
    <w:p>
      <w:pPr>
        <w:ind w:left="4920"/>
        <w:spacing w:after="0"/>
        <w:tabs>
          <w:tab w:leader="none" w:pos="5100" w:val="left"/>
        </w:tabs>
        <w:rPr>
          <w:sz w:val="20"/>
          <w:szCs w:val="20"/>
          <w:color w:val="auto"/>
        </w:rPr>
      </w:pPr>
      <w:r>
        <w:rPr>
          <w:rFonts w:ascii="Times New Roman" w:cs="Times New Roman" w:eastAsia="Times New Roman" w:hAnsi="Times New Roman"/>
          <w:sz w:val="14"/>
          <w:szCs w:val="14"/>
          <w:color w:val="auto"/>
        </w:rPr>
        <w:t>•</w:t>
        <w:tab/>
        <w:t>not to accept benefits from a third</w:t>
      </w:r>
    </w:p>
    <w:p>
      <w:pPr>
        <w:spacing w:after="0" w:line="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2"/>
          <w:szCs w:val="12"/>
          <w:color w:val="auto"/>
        </w:rPr>
        <w:t>party conferred by reason of his being</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a director or doing, or not 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ind w:right="379"/>
        <w:spacing w:after="0" w:line="286" w:lineRule="auto"/>
        <w:rPr>
          <w:sz w:val="20"/>
          <w:szCs w:val="20"/>
          <w:color w:val="auto"/>
        </w:rPr>
      </w:pPr>
      <w:r>
        <w:rPr>
          <w:rFonts w:ascii="Times New Roman" w:cs="Times New Roman" w:eastAsia="Times New Roman" w:hAnsi="Times New Roman"/>
          <w:sz w:val="12"/>
          <w:szCs w:val="12"/>
          <w:color w:val="auto"/>
        </w:rPr>
        <w:t>Delaware corporation owe fiduciary duties of care and loyalty to the corporation and to its shareholders. The duty of care generally requires that a director acts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00" w:lineRule="exact"/>
        <w:rPr>
          <w:sz w:val="20"/>
          <w:szCs w:val="20"/>
          <w:color w:val="auto"/>
        </w:rPr>
      </w:pPr>
    </w:p>
    <w:p>
      <w:pPr>
        <w:spacing w:after="0" w:line="352" w:lineRule="exact"/>
        <w:rPr>
          <w:sz w:val="20"/>
          <w:szCs w:val="20"/>
          <w:color w:val="auto"/>
        </w:rPr>
      </w:pPr>
    </w:p>
    <w:p>
      <w:pPr>
        <w:ind w:right="359"/>
        <w:spacing w:after="0" w:line="247" w:lineRule="auto"/>
        <w:rPr>
          <w:sz w:val="20"/>
          <w:szCs w:val="20"/>
          <w:color w:val="auto"/>
        </w:rPr>
      </w:pPr>
      <w:r>
        <w:rPr>
          <w:rFonts w:ascii="Times New Roman" w:cs="Times New Roman" w:eastAsia="Times New Roman" w:hAnsi="Times New Roman"/>
          <w:sz w:val="14"/>
          <w:szCs w:val="14"/>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220" w:space="180"/>
            <w:col w:w="2759"/>
          </w:cols>
          <w:pgMar w:left="300" w:top="37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ectPr>
          <w:pgSz w:w="11900" w:h="16838" w:orient="portrait"/>
          <w:cols w:equalWidth="0" w:num="1">
            <w:col w:w="10159"/>
          </w:cols>
          <w:pgMar w:left="300" w:top="378" w:right="1440" w:bottom="1440" w:gutter="0" w:footer="0" w:header="0"/>
        </w:sectPr>
      </w:pPr>
    </w:p>
    <w:p>
      <w:pPr>
        <w:spacing w:after="0" w:line="258"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ENGLAND</w:t>
            </w:r>
          </w:p>
        </w:tc>
      </w:tr>
      <w:tr>
        <w:trPr>
          <w:trHeight w:val="166"/>
        </w:trPr>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anything as a director; and</w:t>
            </w:r>
          </w:p>
        </w:tc>
      </w:tr>
      <w:tr>
        <w:trPr>
          <w:trHeight w:val="231"/>
        </w:trPr>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to declare any interest that he has,</w:t>
            </w:r>
          </w:p>
        </w:tc>
      </w:tr>
      <w:tr>
        <w:trPr>
          <w:trHeight w:val="163"/>
        </w:trPr>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whether directly or indirectly, in a</w:t>
            </w:r>
          </w:p>
        </w:tc>
      </w:tr>
      <w:tr>
        <w:trPr>
          <w:trHeight w:val="163"/>
        </w:trPr>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proposed or existing transaction or</w:t>
            </w:r>
          </w:p>
        </w:tc>
      </w:tr>
      <w:tr>
        <w:trPr>
          <w:trHeight w:val="175"/>
        </w:trPr>
        <w:tc>
          <w:tcPr>
            <w:tcW w:w="2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arrangement with the company.</w:t>
            </w: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Shareholder Litigation</w:t>
            </w: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Under English law, generally, the company,</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rather than its shareholders, is the proper</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w w:val="97"/>
              </w:rPr>
              <w:t>claimant in an action in respect of a wrong done</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w w:val="98"/>
              </w:rPr>
              <w:t>to the company or where there is an irregularity</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in the company’s internal management.</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Notwithstanding this general position, the</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Companies Act provides that (i) a court may</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allow a shareholder to bring a derivative claim</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w w:val="99"/>
              </w:rPr>
              <w:t>(that is, an action in respect of and on behalf of</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the company) in respect of a cause of action</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arising from a director’s negligence, default,</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breach of duty or breach of trust and (ii) a</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w w:val="99"/>
              </w:rPr>
              <w:t>shareholder may bring a claim for a court order</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where the company’s affairs have been or are</w:t>
            </w:r>
          </w:p>
        </w:tc>
      </w:tr>
      <w:tr>
        <w:trPr>
          <w:trHeight w:val="163"/>
        </w:trPr>
        <w:tc>
          <w:tcPr>
            <w:tcW w:w="2160" w:type="dxa"/>
            <w:vAlign w:val="bottom"/>
          </w:tcPr>
          <w:p>
            <w:pPr>
              <w:spacing w:after="0"/>
              <w:rPr>
                <w:sz w:val="14"/>
                <w:szCs w:val="14"/>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being conducted in a manner that is unfairly</w:t>
            </w:r>
          </w:p>
        </w:tc>
      </w:tr>
      <w:tr>
        <w:trPr>
          <w:trHeight w:val="175"/>
        </w:trPr>
        <w:tc>
          <w:tcPr>
            <w:tcW w:w="2160" w:type="dxa"/>
            <w:vAlign w:val="bottom"/>
          </w:tcPr>
          <w:p>
            <w:pPr>
              <w:spacing w:after="0"/>
              <w:rPr>
                <w:sz w:val="15"/>
                <w:szCs w:val="15"/>
                <w:color w:val="auto"/>
              </w:rPr>
            </w:pPr>
          </w:p>
        </w:tc>
        <w:tc>
          <w:tcPr>
            <w:tcW w:w="360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prejudicial to some of its shareholders.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Transfer Agent and Registrar of Shares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5303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303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59"/>
        <w:spacing w:after="0" w:line="305" w:lineRule="auto"/>
        <w:rPr>
          <w:sz w:val="20"/>
          <w:szCs w:val="20"/>
          <w:color w:val="auto"/>
        </w:rPr>
      </w:pPr>
      <w:r>
        <w:rPr>
          <w:rFonts w:ascii="Times New Roman" w:cs="Times New Roman" w:eastAsia="Times New Roman" w:hAnsi="Times New Roman"/>
          <w:sz w:val="12"/>
          <w:szCs w:val="12"/>
          <w:color w:val="auto"/>
        </w:rPr>
        <w:t>Under Delaware law, a stockholder may initiate a derivative action to enforce a right of a corporation if the corporation fails to enforce the right itself. The complaint must:</w:t>
      </w:r>
    </w:p>
    <w:p>
      <w:pPr>
        <w:spacing w:after="0" w:line="44" w:lineRule="exact"/>
        <w:rPr>
          <w:sz w:val="20"/>
          <w:szCs w:val="20"/>
          <w:color w:val="auto"/>
        </w:rPr>
      </w:pPr>
    </w:p>
    <w:p>
      <w:pPr>
        <w:ind w:left="540" w:right="419" w:hanging="199"/>
        <w:spacing w:after="0" w:line="297" w:lineRule="auto"/>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that the plaintiff was a stockholder at the time of the transaction of which the plaintiff complains or that the plaintiff’s shares thereafter devolved on the plaintiff by operation of law; and</w:t>
      </w:r>
    </w:p>
    <w:p>
      <w:pPr>
        <w:spacing w:after="0" w:line="47" w:lineRule="exact"/>
        <w:rPr>
          <w:rFonts w:ascii="Times New Roman" w:cs="Times New Roman" w:eastAsia="Times New Roman" w:hAnsi="Times New Roman"/>
          <w:sz w:val="12"/>
          <w:szCs w:val="12"/>
          <w:color w:val="auto"/>
        </w:rPr>
      </w:pPr>
    </w:p>
    <w:p>
      <w:pPr>
        <w:ind w:left="540" w:right="399" w:hanging="199"/>
        <w:spacing w:after="0" w:line="247"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allege with particularity the efforts made by the plaintiff to obtain the action the plaintiff desires from the directors and the reasons for the plaintiff’s failure to obtain the action; or</w:t>
      </w:r>
    </w:p>
    <w:p>
      <w:pPr>
        <w:spacing w:after="0" w:line="78" w:lineRule="exact"/>
        <w:rPr>
          <w:rFonts w:ascii="Times New Roman" w:cs="Times New Roman" w:eastAsia="Times New Roman" w:hAnsi="Times New Roman"/>
          <w:sz w:val="14"/>
          <w:szCs w:val="14"/>
          <w:color w:val="auto"/>
        </w:rPr>
      </w:pPr>
    </w:p>
    <w:p>
      <w:pPr>
        <w:ind w:left="540" w:right="479" w:hanging="199"/>
        <w:spacing w:after="0" w:line="264" w:lineRule="auto"/>
        <w:tabs>
          <w:tab w:leader="none" w:pos="5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the reasons for not making the effort.</w:t>
      </w:r>
    </w:p>
    <w:p>
      <w:pPr>
        <w:spacing w:after="0" w:line="65" w:lineRule="exact"/>
        <w:rPr>
          <w:sz w:val="20"/>
          <w:szCs w:val="20"/>
          <w:color w:val="auto"/>
        </w:rPr>
      </w:pPr>
    </w:p>
    <w:p>
      <w:pPr>
        <w:ind w:right="579"/>
        <w:spacing w:after="0" w:line="247" w:lineRule="auto"/>
        <w:rPr>
          <w:sz w:val="20"/>
          <w:szCs w:val="20"/>
          <w:color w:val="auto"/>
        </w:rPr>
      </w:pPr>
      <w:r>
        <w:rPr>
          <w:rFonts w:ascii="Times New Roman" w:cs="Times New Roman" w:eastAsia="Times New Roman" w:hAnsi="Times New Roman"/>
          <w:sz w:val="14"/>
          <w:szCs w:val="14"/>
          <w:color w:val="auto"/>
        </w:rPr>
        <w:t>Additionally, the plaintiff must remain a stockholder through the duration of the derivative suit. The action will not be dismissed or compromised without the approval of the Delaware Court of Chancery.</w:t>
      </w:r>
    </w:p>
    <w:p>
      <w:pPr>
        <w:spacing w:after="0" w:line="650" w:lineRule="exact"/>
        <w:rPr>
          <w:sz w:val="20"/>
          <w:szCs w:val="20"/>
          <w:color w:val="auto"/>
        </w:rPr>
      </w:pPr>
    </w:p>
    <w:p>
      <w:pPr>
        <w:sectPr>
          <w:pgSz w:w="11900" w:h="16838" w:orient="portrait"/>
          <w:cols w:equalWidth="0" w:num="2">
            <w:col w:w="7240" w:space="160"/>
            <w:col w:w="2759"/>
          </w:cols>
          <w:pgMar w:left="300" w:top="378" w:right="1440"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2"/>
          <w:szCs w:val="12"/>
          <w:color w:val="auto"/>
        </w:rPr>
        <w:t>Our share register is maintained by Computershare Investor Services plc. The share register reflects only record owners of our ordinary shares.</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Holders of our ADSs are not treated as our shareholders and their names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8"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59"/>
        <w:spacing w:after="0" w:line="254" w:lineRule="auto"/>
        <w:rPr>
          <w:sz w:val="20"/>
          <w:szCs w:val="20"/>
          <w:color w:val="auto"/>
        </w:rPr>
      </w:pPr>
      <w:r>
        <w:rPr>
          <w:rFonts w:ascii="Times New Roman" w:cs="Times New Roman" w:eastAsia="Times New Roman" w:hAnsi="Times New Roman"/>
          <w:sz w:val="14"/>
          <w:szCs w:val="14"/>
          <w:color w:val="auto"/>
        </w:rPr>
        <w:t>are therefore not entered in our share register. The depositary, the custodian or their nominees are the holders of the ordinary shares underlying our ADSs. Holders of our ADSs have a right to receive the ordinary shares underlying their ADSs. For a discussion on our ADSs and ADS holder rights, see “Description of American Depositary Shares” in this prospectus.</w:t>
      </w:r>
    </w:p>
    <w:p>
      <w:pPr>
        <w:spacing w:after="0" w:line="3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Our ADSs are listed on The Nasdaq Global Select Market under the trading symbol “AUTL.”</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AMERICAN DEPOSITARY SHARES</w:t>
      </w:r>
    </w:p>
    <w:p>
      <w:pPr>
        <w:spacing w:after="0" w:line="170"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Citibank, N.A., or Citibank, is the depositary for the ADSs representing our ordinary shares.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Citigroup Centre, Canary Wharf, London, E14 5LB, United Kingdom.</w:t>
      </w:r>
    </w:p>
    <w:p>
      <w:pPr>
        <w:spacing w:after="0" w:line="149"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We have appointed Citibank as depositary pursuant to a deposit agreement. A copy of the deposit agreement is on file with the SEC under cover of a registration statement on Form F-6. You may obtain a copy of the deposit agreement from the SEC’s website (www.sec.gov). Please refer to registration number 333-224837 when retrieving such copy. The portions of this summary description that are italicized describes matters that may be relevant to the ownership of ADSs but may not be contained in the deposit agreement.</w:t>
      </w:r>
    </w:p>
    <w:p>
      <w:pPr>
        <w:spacing w:after="0" w:line="14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have been determined by reference to the terms of the deposit agreement and not by this summary. We urge you to review the deposit agreement in its entirety.</w:t>
      </w:r>
    </w:p>
    <w:p>
      <w:pPr>
        <w:spacing w:after="0" w:line="146"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51"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49"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7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699"/>
        <w:spacing w:after="0" w:line="349" w:lineRule="auto"/>
        <w:rPr>
          <w:sz w:val="20"/>
          <w:szCs w:val="20"/>
          <w:color w:val="auto"/>
        </w:rPr>
      </w:pPr>
      <w:r>
        <w:rPr>
          <w:rFonts w:ascii="Times New Roman" w:cs="Times New Roman" w:eastAsia="Times New Roman" w:hAnsi="Times New Roman"/>
          <w:sz w:val="12"/>
          <w:szCs w:val="12"/>
          <w:color w:val="auto"/>
        </w:rPr>
        <w:t>The manner in which you own the ADSs (e.g., in a brokerage account versus a registered holder, or as a holder of certificated versus uncertificated ADSs) may affect your rights and obligations, and the manner in which, and extent to which, the depositary’s services are made available to you.</w:t>
      </w:r>
    </w:p>
    <w:p>
      <w:pPr>
        <w:spacing w:after="0" w:line="87" w:lineRule="exact"/>
        <w:rPr>
          <w:sz w:val="20"/>
          <w:szCs w:val="20"/>
          <w:color w:val="auto"/>
        </w:rPr>
      </w:pPr>
    </w:p>
    <w:p>
      <w:pPr>
        <w:ind w:left="1480" w:right="35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47" w:lineRule="exact"/>
        <w:rPr>
          <w:sz w:val="20"/>
          <w:szCs w:val="20"/>
          <w:color w:val="auto"/>
        </w:rPr>
      </w:pPr>
    </w:p>
    <w:p>
      <w:pPr>
        <w:ind w:left="1480" w:right="359" w:firstLine="333"/>
        <w:spacing w:after="0" w:line="245" w:lineRule="auto"/>
        <w:rPr>
          <w:sz w:val="20"/>
          <w:szCs w:val="20"/>
          <w:color w:val="auto"/>
        </w:rPr>
      </w:pPr>
      <w:r>
        <w:rPr>
          <w:rFonts w:ascii="Times New Roman" w:cs="Times New Roman" w:eastAsia="Times New Roman" w:hAnsi="Times New Roman"/>
          <w:sz w:val="14"/>
          <w:szCs w:val="14"/>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51" w:lineRule="exact"/>
        <w:rPr>
          <w:sz w:val="20"/>
          <w:szCs w:val="20"/>
          <w:color w:val="auto"/>
        </w:rPr>
      </w:pPr>
    </w:p>
    <w:p>
      <w:pPr>
        <w:ind w:left="1480" w:right="459" w:firstLine="333"/>
        <w:spacing w:after="0" w:line="248" w:lineRule="auto"/>
        <w:rPr>
          <w:sz w:val="20"/>
          <w:szCs w:val="20"/>
          <w:color w:val="auto"/>
        </w:rPr>
      </w:pPr>
      <w:r>
        <w:rPr>
          <w:rFonts w:ascii="Times New Roman" w:cs="Times New Roman" w:eastAsia="Times New Roman" w:hAnsi="Times New Roman"/>
          <w:sz w:val="14"/>
          <w:szCs w:val="14"/>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88"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Cash</w:t>
      </w:r>
    </w:p>
    <w:p>
      <w:pPr>
        <w:spacing w:after="0" w:line="88" w:lineRule="exact"/>
        <w:rPr>
          <w:sz w:val="20"/>
          <w:szCs w:val="20"/>
          <w:color w:val="auto"/>
        </w:rPr>
      </w:pPr>
    </w:p>
    <w:p>
      <w:pPr>
        <w:ind w:left="1480" w:right="419" w:firstLine="333"/>
        <w:spacing w:after="0" w:line="316" w:lineRule="auto"/>
        <w:rPr>
          <w:sz w:val="20"/>
          <w:szCs w:val="20"/>
          <w:color w:val="auto"/>
        </w:rPr>
      </w:pPr>
      <w:r>
        <w:rPr>
          <w:rFonts w:ascii="Times New Roman" w:cs="Times New Roman" w:eastAsia="Times New Roman" w:hAnsi="Times New Roman"/>
          <w:sz w:val="12"/>
          <w:szCs w:val="12"/>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09"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7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99" w:firstLine="333"/>
        <w:spacing w:after="0" w:line="250" w:lineRule="auto"/>
        <w:rPr>
          <w:sz w:val="20"/>
          <w:szCs w:val="20"/>
          <w:color w:val="auto"/>
        </w:rPr>
      </w:pPr>
      <w:r>
        <w:rPr>
          <w:rFonts w:ascii="Times New Roman" w:cs="Times New Roman" w:eastAsia="Times New Roman" w:hAnsi="Times New Roman"/>
          <w:sz w:val="14"/>
          <w:szCs w:val="14"/>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Shares</w:t>
      </w:r>
    </w:p>
    <w:p>
      <w:pPr>
        <w:spacing w:after="0" w:line="88"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49"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42"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of Rights</w:t>
      </w:r>
    </w:p>
    <w:p>
      <w:pPr>
        <w:spacing w:after="0" w:line="88" w:lineRule="exact"/>
        <w:rPr>
          <w:sz w:val="20"/>
          <w:szCs w:val="20"/>
          <w:color w:val="auto"/>
        </w:rPr>
      </w:pPr>
    </w:p>
    <w:p>
      <w:pPr>
        <w:ind w:left="1480" w:right="519" w:firstLine="333"/>
        <w:spacing w:after="0" w:line="349" w:lineRule="auto"/>
        <w:rPr>
          <w:sz w:val="20"/>
          <w:szCs w:val="20"/>
          <w:color w:val="auto"/>
        </w:rPr>
      </w:pPr>
      <w:r>
        <w:rPr>
          <w:rFonts w:ascii="Times New Roman" w:cs="Times New Roman" w:eastAsia="Times New Roman" w:hAnsi="Times New Roman"/>
          <w:sz w:val="12"/>
          <w:szCs w:val="12"/>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89"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depositary will establish procedures to distribute rights to subscribe for additional ADSs to holders and, to enable such holders to exercise such rights, we shall have timely requested such rights be made available to holders of ADSs,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than in the form of ADSs.</w:t>
      </w:r>
    </w:p>
    <w:p>
      <w:pPr>
        <w:spacing w:after="0" w:line="15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depositary will not distribute the rights to you if:</w:t>
      </w:r>
    </w:p>
    <w:p>
      <w:pPr>
        <w:spacing w:after="0" w:line="94" w:lineRule="exact"/>
        <w:rPr>
          <w:sz w:val="20"/>
          <w:szCs w:val="20"/>
          <w:color w:val="auto"/>
        </w:rPr>
      </w:pPr>
    </w:p>
    <w:p>
      <w:pPr>
        <w:ind w:left="2220" w:hanging="334"/>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timely request that the rights be distributed to you or we request that the rights not be distributed to you;</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deliver satisfactory documents to the depositary;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reasonably practicable to distribute the rights.</w:t>
      </w:r>
    </w:p>
    <w:p>
      <w:pPr>
        <w:spacing w:after="0" w:line="166" w:lineRule="exact"/>
        <w:rPr>
          <w:sz w:val="20"/>
          <w:szCs w:val="20"/>
          <w:color w:val="auto"/>
        </w:rPr>
      </w:pPr>
    </w:p>
    <w:p>
      <w:pPr>
        <w:ind w:left="1480" w:right="499" w:firstLine="333"/>
        <w:spacing w:after="0" w:line="349" w:lineRule="auto"/>
        <w:rPr>
          <w:sz w:val="20"/>
          <w:szCs w:val="20"/>
          <w:color w:val="auto"/>
        </w:rPr>
      </w:pPr>
      <w:r>
        <w:rPr>
          <w:rFonts w:ascii="Times New Roman" w:cs="Times New Roman" w:eastAsia="Times New Roman" w:hAnsi="Times New Roman"/>
          <w:sz w:val="12"/>
          <w:szCs w:val="12"/>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7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Elective Distributions</w:t>
      </w:r>
    </w:p>
    <w:p>
      <w:pPr>
        <w:spacing w:after="0" w:line="88"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42" w:lineRule="exact"/>
        <w:rPr>
          <w:sz w:val="20"/>
          <w:szCs w:val="20"/>
          <w:color w:val="auto"/>
        </w:rPr>
      </w:pPr>
    </w:p>
    <w:p>
      <w:pPr>
        <w:ind w:left="1480" w:right="519" w:firstLine="333"/>
        <w:spacing w:after="0" w:line="254" w:lineRule="auto"/>
        <w:rPr>
          <w:sz w:val="20"/>
          <w:szCs w:val="20"/>
          <w:color w:val="auto"/>
        </w:rPr>
      </w:pPr>
      <w:r>
        <w:rPr>
          <w:rFonts w:ascii="Times New Roman" w:cs="Times New Roman" w:eastAsia="Times New Roman" w:hAnsi="Times New Roman"/>
          <w:sz w:val="14"/>
          <w:szCs w:val="14"/>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42" w:lineRule="exact"/>
        <w:rPr>
          <w:sz w:val="20"/>
          <w:szCs w:val="20"/>
          <w:color w:val="auto"/>
        </w:rPr>
      </w:pPr>
    </w:p>
    <w:p>
      <w:pPr>
        <w:ind w:left="1480" w:right="659" w:firstLine="333"/>
        <w:spacing w:after="0" w:line="264" w:lineRule="auto"/>
        <w:rPr>
          <w:sz w:val="20"/>
          <w:szCs w:val="20"/>
          <w:color w:val="auto"/>
        </w:rPr>
      </w:pPr>
      <w:r>
        <w:rPr>
          <w:rFonts w:ascii="Times New Roman" w:cs="Times New Roman" w:eastAsia="Times New Roman" w:hAnsi="Times New Roman"/>
          <w:sz w:val="14"/>
          <w:szCs w:val="14"/>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Other Distributions</w:t>
      </w:r>
    </w:p>
    <w:p>
      <w:pPr>
        <w:spacing w:after="0" w:line="88"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42"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The distribution will be made net of fees, expenses, taxes and governmental charges payable by holders under the terms of the deposit agreement.</w:t>
      </w: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In order to pay such taxes and governmental charges, the depositary may sell all or a portion of the property received.</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 xml:space="preserve">The depositary will </w:t>
      </w:r>
      <w:r>
        <w:rPr>
          <w:rFonts w:ascii="Times New Roman" w:cs="Times New Roman" w:eastAsia="Times New Roman" w:hAnsi="Times New Roman"/>
          <w:sz w:val="14"/>
          <w:szCs w:val="14"/>
          <w:i w:val="1"/>
          <w:iCs w:val="1"/>
          <w:color w:val="auto"/>
        </w:rPr>
        <w:t>not</w:t>
      </w:r>
      <w:r>
        <w:rPr>
          <w:rFonts w:ascii="Times New Roman" w:cs="Times New Roman" w:eastAsia="Times New Roman" w:hAnsi="Times New Roman"/>
          <w:sz w:val="14"/>
          <w:szCs w:val="14"/>
          <w:color w:val="auto"/>
        </w:rPr>
        <w:t xml:space="preserve"> distribute the property to you and will sell the property if:</w:t>
      </w:r>
    </w:p>
    <w:p>
      <w:pPr>
        <w:spacing w:after="0" w:line="96" w:lineRule="exact"/>
        <w:rPr>
          <w:sz w:val="20"/>
          <w:szCs w:val="20"/>
          <w:color w:val="auto"/>
        </w:rPr>
      </w:pPr>
    </w:p>
    <w:p>
      <w:pPr>
        <w:ind w:left="2220" w:hanging="334"/>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request that the property be distributed to you or if we ask that the property not be distributed to you;</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deliver satisfactory documents to the depositary;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determines that all or a portion of the distribution to you is not reasonably practicable.</w:t>
      </w:r>
    </w:p>
    <w:p>
      <w:pPr>
        <w:spacing w:after="0" w:line="1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proceeds of such a sale will be distributed to holders as in the case of a cash distribution.</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88" w:lineRule="exact"/>
        <w:rPr>
          <w:sz w:val="20"/>
          <w:szCs w:val="20"/>
          <w:color w:val="auto"/>
        </w:rPr>
      </w:pPr>
    </w:p>
    <w:p>
      <w:pPr>
        <w:ind w:left="1480" w:right="379" w:firstLine="333"/>
        <w:spacing w:after="0" w:line="349" w:lineRule="auto"/>
        <w:rPr>
          <w:sz w:val="20"/>
          <w:szCs w:val="20"/>
          <w:color w:val="auto"/>
        </w:rPr>
      </w:pPr>
      <w:r>
        <w:rPr>
          <w:rFonts w:ascii="Times New Roman" w:cs="Times New Roman" w:eastAsia="Times New Roman" w:hAnsi="Times New Roman"/>
          <w:sz w:val="12"/>
          <w:szCs w:val="12"/>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89"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7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Changes Affecting Ordinary Shares</w:t>
      </w:r>
    </w:p>
    <w:p>
      <w:pPr>
        <w:spacing w:after="0" w:line="88" w:lineRule="exact"/>
        <w:rPr>
          <w:sz w:val="20"/>
          <w:szCs w:val="20"/>
          <w:color w:val="auto"/>
        </w:rPr>
      </w:pPr>
    </w:p>
    <w:p>
      <w:pPr>
        <w:ind w:left="1480" w:right="879" w:firstLine="333"/>
        <w:spacing w:after="0" w:line="254" w:lineRule="auto"/>
        <w:rPr>
          <w:sz w:val="20"/>
          <w:szCs w:val="20"/>
          <w:color w:val="auto"/>
        </w:rPr>
      </w:pPr>
      <w:r>
        <w:rPr>
          <w:rFonts w:ascii="Times New Roman" w:cs="Times New Roman" w:eastAsia="Times New Roman" w:hAnsi="Times New Roman"/>
          <w:sz w:val="14"/>
          <w:szCs w:val="14"/>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42" w:lineRule="exact"/>
        <w:rPr>
          <w:sz w:val="20"/>
          <w:szCs w:val="20"/>
          <w:color w:val="auto"/>
        </w:rPr>
      </w:pPr>
    </w:p>
    <w:p>
      <w:pPr>
        <w:ind w:left="1480" w:right="379" w:firstLine="333"/>
        <w:spacing w:after="0" w:line="300" w:lineRule="auto"/>
        <w:rPr>
          <w:sz w:val="20"/>
          <w:szCs w:val="20"/>
          <w:color w:val="auto"/>
        </w:rPr>
      </w:pPr>
      <w:r>
        <w:rPr>
          <w:rFonts w:ascii="Times New Roman" w:cs="Times New Roman" w:eastAsia="Times New Roman" w:hAnsi="Times New Roman"/>
          <w:sz w:val="12"/>
          <w:szCs w:val="12"/>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Issuance of ADSs Upon Deposit of Ordinary Shares</w:t>
      </w:r>
    </w:p>
    <w:p>
      <w:pPr>
        <w:spacing w:after="0" w:line="88"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Any ordinary shares being offered pursuant to this prospectus will be deposited by us with the custodian. Upon receipt of confirmation of such deposit, the depositary will issue ADSs pursuant to our instruction.</w:t>
      </w:r>
    </w:p>
    <w:p>
      <w:pPr>
        <w:spacing w:after="0" w:line="136"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and provide such documentation as may be required pursuant to the deposit agreement. Your ability to deposit ordinary shares and receive ADSs may be limited by the legal considerations under the laws of the United States and England and Wales applicable at the time of deposit.</w:t>
      </w:r>
    </w:p>
    <w:p>
      <w:pPr>
        <w:spacing w:after="0" w:line="149" w:lineRule="exact"/>
        <w:rPr>
          <w:sz w:val="20"/>
          <w:szCs w:val="20"/>
          <w:color w:val="auto"/>
        </w:rPr>
      </w:pPr>
    </w:p>
    <w:p>
      <w:pPr>
        <w:ind w:left="1480" w:right="439" w:firstLine="333"/>
        <w:spacing w:after="0" w:line="264" w:lineRule="auto"/>
        <w:rPr>
          <w:sz w:val="20"/>
          <w:szCs w:val="20"/>
          <w:color w:val="auto"/>
        </w:rPr>
      </w:pPr>
      <w:r>
        <w:rPr>
          <w:rFonts w:ascii="Times New Roman" w:cs="Times New Roman" w:eastAsia="Times New Roman" w:hAnsi="Times New Roman"/>
          <w:sz w:val="14"/>
          <w:szCs w:val="14"/>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36"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When you make a deposit of ordinary shares, you will be responsible for transferring good and valid title to the depositary. As such, you will be deemed to represent and warrant that:</w:t>
      </w:r>
    </w:p>
    <w:p>
      <w:pPr>
        <w:spacing w:after="0" w:line="65" w:lineRule="exact"/>
        <w:rPr>
          <w:sz w:val="20"/>
          <w:szCs w:val="20"/>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duly authorized, validly issued, fully paid, non-assessable and legally obtained;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preemptive (and similar) rights, if any, with respect to such ordinary shares have been validly waived, disapplied or exercised;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duly authorized to deposit the ordinary shares;</w:t>
      </w:r>
    </w:p>
    <w:p>
      <w:pPr>
        <w:spacing w:after="0" w:line="94" w:lineRule="exact"/>
        <w:rPr>
          <w:rFonts w:ascii="Times New Roman" w:cs="Times New Roman" w:eastAsia="Times New Roman" w:hAnsi="Times New Roman"/>
          <w:sz w:val="14"/>
          <w:szCs w:val="14"/>
          <w:color w:val="auto"/>
        </w:rPr>
      </w:pPr>
    </w:p>
    <w:p>
      <w:pPr>
        <w:ind w:left="2220" w:right="439" w:hanging="334"/>
        <w:spacing w:after="0" w:line="264" w:lineRule="auto"/>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presented for deposit have not been stripped of any rights or entitlements;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of shares does not violate any applicable provision of English law.</w:t>
      </w:r>
    </w:p>
    <w:p>
      <w:pPr>
        <w:spacing w:after="0" w:line="166"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If any of the representations or warranties are incorrect in any way, we and the depositary may, at your cost and expense, take any and all actions necessary to correct the consequences of the misrepresentations.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Transfer, Combination and Split Up of ADRs</w:t>
      </w:r>
    </w:p>
    <w:p>
      <w:pPr>
        <w:spacing w:after="0" w:line="88" w:lineRule="exact"/>
        <w:rPr>
          <w:sz w:val="20"/>
          <w:szCs w:val="20"/>
          <w:color w:val="auto"/>
        </w:rPr>
      </w:pPr>
    </w:p>
    <w:p>
      <w:pPr>
        <w:ind w:left="1480" w:right="479" w:firstLine="333"/>
        <w:spacing w:after="0" w:line="264" w:lineRule="auto"/>
        <w:rPr>
          <w:sz w:val="20"/>
          <w:szCs w:val="20"/>
          <w:color w:val="auto"/>
        </w:rPr>
      </w:pPr>
      <w:r>
        <w:rPr>
          <w:rFonts w:ascii="Times New Roman" w:cs="Times New Roman" w:eastAsia="Times New Roman" w:hAnsi="Times New Roman"/>
          <w:sz w:val="14"/>
          <w:szCs w:val="14"/>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5" w:lineRule="exact"/>
        <w:rPr>
          <w:sz w:val="20"/>
          <w:szCs w:val="20"/>
          <w:color w:val="auto"/>
        </w:rPr>
      </w:pPr>
    </w:p>
    <w:p>
      <w:pPr>
        <w:ind w:left="5580" w:right="2799" w:hanging="3694"/>
        <w:spacing w:after="0" w:line="432" w:lineRule="auto"/>
        <w:tabs>
          <w:tab w:leader="none" w:pos="221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the surrendered ADR is properly endorsed or otherwise in proper form for transfer; 38</w:t>
      </w:r>
    </w:p>
    <w:p>
      <w:pPr>
        <w:sectPr>
          <w:pgSz w:w="11900" w:h="16838" w:orient="portrait"/>
          <w:cols w:equalWidth="0" w:num="1">
            <w:col w:w="10159"/>
          </w:cols>
          <w:pgMar w:left="300" w:top="37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such proof of identity and genuineness of signatures as the depositary deems appropriate;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any transfer stamps required by the State of New York or the United States; and</w:t>
      </w:r>
    </w:p>
    <w:p>
      <w:pPr>
        <w:spacing w:after="0" w:line="94" w:lineRule="exact"/>
        <w:rPr>
          <w:rFonts w:ascii="Times New Roman" w:cs="Times New Roman" w:eastAsia="Times New Roman" w:hAnsi="Times New Roman"/>
          <w:sz w:val="14"/>
          <w:szCs w:val="14"/>
          <w:color w:val="auto"/>
        </w:rPr>
      </w:pPr>
    </w:p>
    <w:p>
      <w:pPr>
        <w:ind w:left="2220" w:right="759" w:hanging="334"/>
        <w:spacing w:after="0" w:line="264" w:lineRule="auto"/>
        <w:tabs>
          <w:tab w:leader="none" w:pos="2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all applicable fees, charges, expenses, taxes and other government charges payable by ADR holders pursuant to the terms of the deposit agreement, upon the transfer of ADRs.</w:t>
      </w:r>
    </w:p>
    <w:p>
      <w:pPr>
        <w:spacing w:after="0" w:line="136" w:lineRule="exact"/>
        <w:rPr>
          <w:sz w:val="20"/>
          <w:szCs w:val="20"/>
          <w:color w:val="auto"/>
        </w:rPr>
      </w:pPr>
    </w:p>
    <w:p>
      <w:pPr>
        <w:ind w:left="1480" w:right="759" w:firstLine="333"/>
        <w:spacing w:after="0" w:line="254" w:lineRule="auto"/>
        <w:rPr>
          <w:sz w:val="20"/>
          <w:szCs w:val="20"/>
          <w:color w:val="auto"/>
        </w:rPr>
      </w:pPr>
      <w:r>
        <w:rPr>
          <w:rFonts w:ascii="Times New Roman" w:cs="Times New Roman" w:eastAsia="Times New Roman" w:hAnsi="Times New Roman"/>
          <w:sz w:val="14"/>
          <w:szCs w:val="14"/>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Withdrawal of Ordinary Shares Upon Cancellation of ADSs</w:t>
      </w:r>
    </w:p>
    <w:p>
      <w:pPr>
        <w:spacing w:after="0" w:line="88"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As a holder of ADSs, you will be entitled to present your ADSs to the depositary for cancellation and then receive the corresponding number of underlying ordinary shares at the custodian’s offices. Your ability to withdraw the ordinary shares held in respect of the ADSs may be limited by legal considerations under the laws of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50" w:lineRule="exact"/>
        <w:rPr>
          <w:sz w:val="20"/>
          <w:szCs w:val="20"/>
          <w:color w:val="auto"/>
        </w:rPr>
      </w:pPr>
    </w:p>
    <w:p>
      <w:pPr>
        <w:ind w:left="1480" w:right="559" w:firstLine="333"/>
        <w:spacing w:after="0" w:line="305" w:lineRule="auto"/>
        <w:rPr>
          <w:sz w:val="20"/>
          <w:szCs w:val="20"/>
          <w:color w:val="auto"/>
        </w:rPr>
      </w:pPr>
      <w:r>
        <w:rPr>
          <w:rFonts w:ascii="Times New Roman" w:cs="Times New Roman" w:eastAsia="Times New Roman" w:hAnsi="Times New Roman"/>
          <w:sz w:val="12"/>
          <w:szCs w:val="12"/>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You will have the right to withdraw the securities represented by your ADSs at any time except as a result of:</w:t>
      </w:r>
    </w:p>
    <w:p>
      <w:pPr>
        <w:spacing w:after="0" w:line="94" w:lineRule="exact"/>
        <w:rPr>
          <w:sz w:val="20"/>
          <w:szCs w:val="20"/>
          <w:color w:val="auto"/>
        </w:rPr>
      </w:pPr>
    </w:p>
    <w:p>
      <w:pPr>
        <w:ind w:left="2220" w:right="779" w:hanging="334"/>
        <w:spacing w:after="0" w:line="264"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delays that may arise because (i) the transfer books for the ordinary shares or ADSs are closed, or (ii) ordinary shares are immobilized on account of a shareholders’ meeting or a payment of dividends;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pay fees, taxes and similar charges;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because of laws or regulations applicable to ADSs or the withdrawal of securities on deposit; and/or</w:t>
      </w:r>
    </w:p>
    <w:p>
      <w:pPr>
        <w:spacing w:after="0" w:line="9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circumstances specifically contemplated by Section I.A.(I) of the General Instruction to Form F-6 (as such General Instructions may be amended from time to time).</w:t>
      </w:r>
    </w:p>
    <w:p>
      <w:pPr>
        <w:spacing w:after="0" w:line="136" w:lineRule="exact"/>
        <w:rPr>
          <w:sz w:val="20"/>
          <w:szCs w:val="20"/>
          <w:color w:val="auto"/>
        </w:rPr>
      </w:pPr>
    </w:p>
    <w:p>
      <w:pPr>
        <w:ind w:left="1480" w:right="679" w:firstLine="333"/>
        <w:spacing w:after="0" w:line="264" w:lineRule="auto"/>
        <w:rPr>
          <w:sz w:val="20"/>
          <w:szCs w:val="20"/>
          <w:color w:val="auto"/>
        </w:rPr>
      </w:pPr>
      <w:r>
        <w:rPr>
          <w:rFonts w:ascii="Times New Roman" w:cs="Times New Roman" w:eastAsia="Times New Roman" w:hAnsi="Times New Roman"/>
          <w:sz w:val="14"/>
          <w:szCs w:val="14"/>
          <w:color w:val="auto"/>
        </w:rPr>
        <w:t>The deposit agreement may not be modified to impair your right to withdraw the securities represented by your ADSs except to comply with mandatory provisions of law.</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88" w:lineRule="exact"/>
        <w:rPr>
          <w:sz w:val="20"/>
          <w:szCs w:val="20"/>
          <w:color w:val="auto"/>
        </w:rPr>
      </w:pPr>
    </w:p>
    <w:p>
      <w:pPr>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As a holder, you generally have the right under the deposit agreement to instruct the depositary to exercise the voting rights for the ordinary shares represented by your ADSs. The voting rights of holders of ordinary shares are described in the section titled “Description of Share Capital and Articles of Association – Key Provisions of Our Articles of Association” in this prospectus.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7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559" w:firstLine="333"/>
        <w:spacing w:after="0" w:line="254" w:lineRule="auto"/>
        <w:rPr>
          <w:sz w:val="20"/>
          <w:szCs w:val="20"/>
          <w:color w:val="auto"/>
        </w:rPr>
      </w:pPr>
      <w:r>
        <w:rPr>
          <w:rFonts w:ascii="Times New Roman" w:cs="Times New Roman" w:eastAsia="Times New Roman" w:hAnsi="Times New Roman"/>
          <w:sz w:val="14"/>
          <w:szCs w:val="14"/>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42" w:lineRule="exact"/>
        <w:rPr>
          <w:sz w:val="20"/>
          <w:szCs w:val="20"/>
          <w:color w:val="auto"/>
        </w:rPr>
      </w:pPr>
    </w:p>
    <w:p>
      <w:pPr>
        <w:ind w:left="1480" w:right="399" w:firstLine="333"/>
        <w:spacing w:after="0" w:line="246" w:lineRule="auto"/>
        <w:rPr>
          <w:sz w:val="20"/>
          <w:szCs w:val="20"/>
          <w:color w:val="auto"/>
        </w:rPr>
      </w:pPr>
      <w:r>
        <w:rPr>
          <w:rFonts w:ascii="Times New Roman" w:cs="Times New Roman" w:eastAsia="Times New Roman" w:hAnsi="Times New Roman"/>
          <w:sz w:val="14"/>
          <w:szCs w:val="14"/>
          <w:color w:val="auto"/>
        </w:rPr>
        <w:t>If the depositary timely receives voting instructions from a holder of ADSs, it will endeavor to vote (or cause the custodian to vote) the securities (in person or by proxy) represented by the holder’s ADSs as follows: the depositary will vote (or cause the custodian to vote) the securities represented by ADSs in accordance with the voting instructions received from the holders of ADSs. If the depositary does not receive timely voting instructions from a holder of ADSs as of the applicable ADS record date on or before the date established by the depositary for such purpose, such holder will be deemed, and the depositary will deem such holder, to have instructed the depositary to give a discretionary proxy to a person designated by us to vote the securities represented by ADSs; provided, however, that no such discretionary proxy will be given by the depositary with respect to any matter to be voted upon as to which we inform the depositary that (a) we do not wish such proxy to be given, (b) substantial opposition exists or (c) the rights of holders of securities represented by ADSs may be adversely affected.</w:t>
      </w:r>
    </w:p>
    <w:p>
      <w:pPr>
        <w:spacing w:after="0" w:line="150" w:lineRule="exact"/>
        <w:rPr>
          <w:sz w:val="20"/>
          <w:szCs w:val="20"/>
          <w:color w:val="auto"/>
        </w:rPr>
      </w:pPr>
    </w:p>
    <w:p>
      <w:pPr>
        <w:ind w:left="1480" w:right="439" w:firstLine="333"/>
        <w:spacing w:after="0" w:line="250" w:lineRule="auto"/>
        <w:rPr>
          <w:sz w:val="20"/>
          <w:szCs w:val="20"/>
          <w:color w:val="auto"/>
        </w:rPr>
      </w:pPr>
      <w:r>
        <w:rPr>
          <w:rFonts w:ascii="Times New Roman" w:cs="Times New Roman" w:eastAsia="Times New Roman" w:hAnsi="Times New Roman"/>
          <w:sz w:val="14"/>
          <w:szCs w:val="14"/>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Fees and Charges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an ADS holder, you will be required to pay the following fees under the terms of the deposit agreement:</w:t>
      </w:r>
    </w:p>
    <w:p>
      <w:pPr>
        <w:spacing w:after="0" w:line="180" w:lineRule="exact"/>
        <w:rPr>
          <w:sz w:val="20"/>
          <w:szCs w:val="20"/>
          <w:color w:val="auto"/>
        </w:rPr>
      </w:pPr>
    </w:p>
    <w:tbl>
      <w:tblPr>
        <w:tblLayout w:type="fixed"/>
        <w:tblInd w:w="1480" w:type="dxa"/>
        <w:tblCellMar>
          <w:top w:w="0" w:type="dxa"/>
          <w:left w:w="0" w:type="dxa"/>
          <w:bottom w:w="0" w:type="dxa"/>
          <w:right w:w="0" w:type="dxa"/>
        </w:tblCellMar>
      </w:tblPr>
      <w:tr>
        <w:trPr>
          <w:trHeight w:val="142"/>
        </w:trPr>
        <w:tc>
          <w:tcPr>
            <w:tcW w:w="4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SERVICE</w:t>
            </w:r>
          </w:p>
        </w:tc>
        <w:tc>
          <w:tcPr>
            <w:tcW w:w="160" w:type="dxa"/>
            <w:vAlign w:val="bottom"/>
          </w:tcPr>
          <w:p>
            <w:pPr>
              <w:spacing w:after="0"/>
              <w:rPr>
                <w:sz w:val="12"/>
                <w:szCs w:val="12"/>
                <w:color w:val="auto"/>
              </w:rPr>
            </w:pPr>
          </w:p>
        </w:tc>
        <w:tc>
          <w:tcPr>
            <w:tcW w:w="3920" w:type="dxa"/>
            <w:vAlign w:val="bottom"/>
          </w:tcPr>
          <w:p>
            <w:pPr>
              <w:ind w:left="1840"/>
              <w:spacing w:after="0"/>
              <w:rPr>
                <w:sz w:val="20"/>
                <w:szCs w:val="20"/>
                <w:color w:val="auto"/>
              </w:rPr>
            </w:pPr>
            <w:r>
              <w:rPr>
                <w:rFonts w:ascii="Times New Roman" w:cs="Times New Roman" w:eastAsia="Times New Roman" w:hAnsi="Times New Roman"/>
                <w:sz w:val="11"/>
                <w:szCs w:val="11"/>
                <w:b w:val="1"/>
                <w:bCs w:val="1"/>
                <w:color w:val="auto"/>
              </w:rPr>
              <w:t>FEE</w:t>
            </w:r>
          </w:p>
        </w:tc>
      </w:tr>
      <w:tr>
        <w:trPr>
          <w:trHeight w:val="141"/>
        </w:trPr>
        <w:tc>
          <w:tcPr>
            <w:tcW w:w="20" w:type="dxa"/>
            <w:vAlign w:val="bottom"/>
          </w:tcPr>
          <w:p>
            <w:pPr>
              <w:spacing w:after="0"/>
              <w:rPr>
                <w:sz w:val="12"/>
                <w:szCs w:val="12"/>
                <w:color w:val="auto"/>
              </w:rPr>
            </w:pPr>
          </w:p>
        </w:tc>
        <w:tc>
          <w:tcPr>
            <w:tcW w:w="424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w w:val="97"/>
              </w:rPr>
              <w:t>Issuanceof ADSs (e.g., an issuance of ADS upon a deposit of ordinary shares</w:t>
            </w:r>
          </w:p>
        </w:tc>
        <w:tc>
          <w:tcPr>
            <w:tcW w:w="160" w:type="dxa"/>
            <w:vAlign w:val="bottom"/>
          </w:tcPr>
          <w:p>
            <w:pPr>
              <w:spacing w:after="0"/>
              <w:rPr>
                <w:sz w:val="12"/>
                <w:szCs w:val="12"/>
                <w:color w:val="auto"/>
              </w:rPr>
            </w:pPr>
          </w:p>
        </w:tc>
        <w:tc>
          <w:tcPr>
            <w:tcW w:w="392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Up to $0.05 per ADS issued</w:t>
            </w:r>
          </w:p>
        </w:tc>
      </w:tr>
      <w:tr>
        <w:trPr>
          <w:trHeight w:val="163"/>
        </w:trPr>
        <w:tc>
          <w:tcPr>
            <w:tcW w:w="20" w:type="dxa"/>
            <w:vAlign w:val="bottom"/>
          </w:tcPr>
          <w:p>
            <w:pPr>
              <w:spacing w:after="0"/>
              <w:rPr>
                <w:sz w:val="14"/>
                <w:szCs w:val="14"/>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or upon a change in the ADS(s)-to-ordinary shares ratio), excluding</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ADS issuances as a result of distributions of ordinary shares</w:t>
            </w: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Cancellationof ADSs (e.g., a cancellation of ADSs for delivery of deposited</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$0.05 per ADS cancelled</w:t>
            </w:r>
          </w:p>
        </w:tc>
      </w:tr>
      <w:tr>
        <w:trPr>
          <w:trHeight w:val="163"/>
        </w:trPr>
        <w:tc>
          <w:tcPr>
            <w:tcW w:w="20" w:type="dxa"/>
            <w:vAlign w:val="bottom"/>
          </w:tcPr>
          <w:p>
            <w:pPr>
              <w:spacing w:after="0"/>
              <w:rPr>
                <w:sz w:val="14"/>
                <w:szCs w:val="14"/>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property or upon a change in the ADS(s)-to-ordinary shares ratio, or for</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any other reason)</w:t>
            </w: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Distributionof cash dividends or other cash distributions (e.g., upon a sale of</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$0.05 per ADS held</w:t>
            </w:r>
          </w:p>
        </w:tc>
      </w:tr>
      <w:tr>
        <w:trPr>
          <w:trHeight w:val="175"/>
        </w:trPr>
        <w:tc>
          <w:tcPr>
            <w:tcW w:w="2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rights and other entitlements)</w:t>
            </w: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Distributionof ADSs pursuant to (i) share dividends or other free share</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$0.05 per ADS held</w:t>
            </w:r>
          </w:p>
        </w:tc>
      </w:tr>
      <w:tr>
        <w:trPr>
          <w:trHeight w:val="175"/>
        </w:trPr>
        <w:tc>
          <w:tcPr>
            <w:tcW w:w="2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or (ii) exercise of rights to purchase additional ADSs</w:t>
            </w: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Distributionof securities other than ADSs or rights to purchase additional</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Up to $0.05 per ADS held</w:t>
            </w:r>
          </w:p>
        </w:tc>
      </w:tr>
      <w:tr>
        <w:trPr>
          <w:trHeight w:val="175"/>
        </w:trPr>
        <w:tc>
          <w:tcPr>
            <w:tcW w:w="2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ADSs (e.g., upon a spin-off)</w:t>
            </w: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ADSServices</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Up to $0.05 per ADS held on the applicable record date(s) established</w:t>
            </w: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by the depositary</w:t>
            </w:r>
          </w:p>
        </w:tc>
      </w:tr>
    </w:tbl>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As an ADS holder, you will also be responsible to pay certain charges such as:</w:t>
      </w:r>
    </w:p>
    <w:p>
      <w:pPr>
        <w:spacing w:after="0" w:line="94" w:lineRule="exact"/>
        <w:rPr>
          <w:sz w:val="20"/>
          <w:szCs w:val="20"/>
          <w:color w:val="auto"/>
        </w:rPr>
      </w:pPr>
    </w:p>
    <w:p>
      <w:pPr>
        <w:ind w:left="5580" w:right="3439" w:hanging="3694"/>
        <w:spacing w:after="0" w:line="432" w:lineRule="auto"/>
        <w:tabs>
          <w:tab w:leader="none" w:pos="221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 (including applicable interest and penalties) and other governmental charges; 40</w:t>
      </w:r>
    </w:p>
    <w:p>
      <w:pPr>
        <w:sectPr>
          <w:pgSz w:w="11900" w:h="16838" w:orient="portrait"/>
          <w:cols w:equalWidth="0" w:num="1">
            <w:col w:w="10159"/>
          </w:cols>
          <w:pgMar w:left="300" w:top="37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659" w:hanging="334"/>
        <w:spacing w:after="0" w:line="254" w:lineRule="auto"/>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cable, telex and facsimile transmission and delivery expenses;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and other charges incurred by the depositary in the conversion of foreign currency;</w:t>
      </w:r>
    </w:p>
    <w:p>
      <w:pPr>
        <w:spacing w:after="0" w:line="9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and expenses incurred by the depositary in connection with compliance with exchange control regulations and other regulatory requirements applicable to ordinary shares, ADSs and ADRs; and</w:t>
      </w:r>
    </w:p>
    <w:p>
      <w:pPr>
        <w:spacing w:after="0" w:line="6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and expenses incurred by the depositary, the custodian or any nominee in connection with the servicing or delivery of deposited property.</w:t>
      </w:r>
    </w:p>
    <w:p>
      <w:pPr>
        <w:spacing w:after="0" w:line="136" w:lineRule="exact"/>
        <w:rPr>
          <w:sz w:val="20"/>
          <w:szCs w:val="20"/>
          <w:color w:val="auto"/>
        </w:rPr>
      </w:pPr>
    </w:p>
    <w:p>
      <w:pPr>
        <w:ind w:left="1480" w:right="359" w:firstLine="333"/>
        <w:spacing w:after="0" w:line="290" w:lineRule="auto"/>
        <w:rPr>
          <w:sz w:val="20"/>
          <w:szCs w:val="20"/>
          <w:color w:val="auto"/>
        </w:rPr>
      </w:pPr>
      <w:r>
        <w:rPr>
          <w:rFonts w:ascii="Times New Roman" w:cs="Times New Roman" w:eastAsia="Times New Roman" w:hAnsi="Times New Roman"/>
          <w:sz w:val="12"/>
          <w:szCs w:val="12"/>
          <w:color w:val="auto"/>
        </w:rPr>
        <w:t>ADS fees and charges payable upon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90" w:lineRule="exact"/>
        <w:rPr>
          <w:sz w:val="20"/>
          <w:szCs w:val="20"/>
          <w:color w:val="auto"/>
        </w:rPr>
      </w:pPr>
    </w:p>
    <w:p>
      <w:pPr>
        <w:ind w:left="1480" w:right="399" w:firstLine="333"/>
        <w:spacing w:after="0" w:line="297" w:lineRule="auto"/>
        <w:rPr>
          <w:sz w:val="20"/>
          <w:szCs w:val="20"/>
          <w:color w:val="auto"/>
        </w:rPr>
      </w:pPr>
      <w:r>
        <w:rPr>
          <w:rFonts w:ascii="Times New Roman" w:cs="Times New Roman" w:eastAsia="Times New Roman" w:hAnsi="Times New Roman"/>
          <w:sz w:val="12"/>
          <w:szCs w:val="12"/>
          <w:color w:val="auto"/>
        </w:rPr>
        <w:t>In the event of refusal to pay the depositary fees or charges, the depositary may, under the terms of the deposit agreement, refuse the requested service until payment is received or may set off the amount of the depositary fees and charges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ADSs, by making available a portion of the ADS fees charged in respect of the ADSs or otherwise, upon such terms and conditions as we and the depositary agree from time to time.</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Amendments and Termination</w:t>
      </w:r>
    </w:p>
    <w:p>
      <w:pPr>
        <w:spacing w:after="0" w:line="88"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50" w:lineRule="exact"/>
        <w:rPr>
          <w:sz w:val="20"/>
          <w:szCs w:val="20"/>
          <w:color w:val="auto"/>
        </w:rPr>
      </w:pPr>
    </w:p>
    <w:p>
      <w:pPr>
        <w:ind w:left="1480" w:right="379" w:firstLine="333"/>
        <w:spacing w:after="0" w:line="254" w:lineRule="auto"/>
        <w:rPr>
          <w:sz w:val="20"/>
          <w:szCs w:val="20"/>
          <w:color w:val="auto"/>
        </w:rPr>
      </w:pPr>
      <w:r>
        <w:rPr>
          <w:rFonts w:ascii="Times New Roman" w:cs="Times New Roman" w:eastAsia="Times New Roman" w:hAnsi="Times New Roman"/>
          <w:sz w:val="14"/>
          <w:szCs w:val="14"/>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7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jc w:val="both"/>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We have the right to direct the depositary to terminate the deposit agreement subject to certain conditions.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42" w:lineRule="exact"/>
        <w:rPr>
          <w:sz w:val="20"/>
          <w:szCs w:val="20"/>
          <w:color w:val="auto"/>
        </w:rPr>
      </w:pPr>
    </w:p>
    <w:p>
      <w:pPr>
        <w:ind w:left="1480" w:right="379" w:firstLine="333"/>
        <w:spacing w:after="0" w:line="305" w:lineRule="auto"/>
        <w:rPr>
          <w:sz w:val="20"/>
          <w:szCs w:val="20"/>
          <w:color w:val="auto"/>
        </w:rPr>
      </w:pPr>
      <w:r>
        <w:rPr>
          <w:rFonts w:ascii="Times New Roman" w:cs="Times New Roman" w:eastAsia="Times New Roman" w:hAnsi="Times New Roman"/>
          <w:sz w:val="12"/>
          <w:szCs w:val="12"/>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Books of Depositary</w:t>
      </w:r>
    </w:p>
    <w:p>
      <w:pPr>
        <w:spacing w:after="0" w:line="88" w:lineRule="exact"/>
        <w:rPr>
          <w:sz w:val="20"/>
          <w:szCs w:val="20"/>
          <w:color w:val="auto"/>
        </w:rPr>
      </w:pPr>
    </w:p>
    <w:p>
      <w:pPr>
        <w:ind w:left="1480" w:right="499" w:firstLine="333"/>
        <w:spacing w:after="0" w:line="349" w:lineRule="auto"/>
        <w:rPr>
          <w:sz w:val="20"/>
          <w:szCs w:val="20"/>
          <w:color w:val="auto"/>
        </w:rPr>
      </w:pPr>
      <w:r>
        <w:rPr>
          <w:rFonts w:ascii="Times New Roman" w:cs="Times New Roman" w:eastAsia="Times New Roman" w:hAnsi="Times New Roman"/>
          <w:sz w:val="12"/>
          <w:szCs w:val="12"/>
          <w:color w:val="auto"/>
        </w:rPr>
        <w:t>The depositary maintains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8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depositary maintains in New York facilities to record and process the issuance, cancellation, combination, split-up and transfer of ADSs.</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These facilities may be closed from time to time, to the extent not prohibited by law.</w:t>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Liabilities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deposit agreement limits our obligations and the depositary’s obligations to you. Please note the following:</w:t>
      </w:r>
    </w:p>
    <w:p>
      <w:pPr>
        <w:spacing w:after="0" w:line="94" w:lineRule="exact"/>
        <w:rPr>
          <w:sz w:val="20"/>
          <w:szCs w:val="20"/>
          <w:color w:val="auto"/>
        </w:rPr>
      </w:pPr>
    </w:p>
    <w:p>
      <w:pPr>
        <w:ind w:left="2220" w:hanging="334"/>
        <w:spacing w:after="0"/>
        <w:tabs>
          <w:tab w:leader="none" w:pos="22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are obligated only to take the actions specifically stated in the deposit agreement without negligence or bad faith.</w:t>
      </w:r>
    </w:p>
    <w:p>
      <w:pPr>
        <w:spacing w:after="0" w:line="117" w:lineRule="exact"/>
        <w:rPr>
          <w:rFonts w:ascii="Times New Roman" w:cs="Times New Roman" w:eastAsia="Times New Roman" w:hAnsi="Times New Roman"/>
          <w:sz w:val="12"/>
          <w:szCs w:val="12"/>
          <w:color w:val="auto"/>
        </w:rPr>
      </w:pPr>
    </w:p>
    <w:p>
      <w:pPr>
        <w:ind w:left="2220" w:right="359" w:hanging="334"/>
        <w:spacing w:after="0" w:line="264"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64" w:lineRule="exact"/>
        <w:rPr>
          <w:rFonts w:ascii="Times New Roman" w:cs="Times New Roman" w:eastAsia="Times New Roman" w:hAnsi="Times New Roman"/>
          <w:sz w:val="14"/>
          <w:szCs w:val="14"/>
          <w:color w:val="auto"/>
        </w:rPr>
      </w:pPr>
    </w:p>
    <w:p>
      <w:pPr>
        <w:ind w:left="2220" w:right="359" w:hanging="334"/>
        <w:spacing w:after="0" w:line="247"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78" w:lineRule="exact"/>
        <w:rPr>
          <w:rFonts w:ascii="Times New Roman" w:cs="Times New Roman" w:eastAsia="Times New Roman" w:hAnsi="Times New Roman"/>
          <w:sz w:val="14"/>
          <w:szCs w:val="14"/>
          <w:color w:val="auto"/>
        </w:rPr>
      </w:pPr>
    </w:p>
    <w:p>
      <w:pPr>
        <w:ind w:left="2220" w:right="479" w:hanging="334"/>
        <w:spacing w:after="0" w:line="264"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shall not be liable for acts or omissions of any successor depositary in connection with any matter arising wholly after the resignation or removal of the depositary.</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will not be obligated to perform any act that is inconsistent with the terms of the deposit agreement.</w:t>
      </w:r>
    </w:p>
    <w:p>
      <w:pPr>
        <w:spacing w:after="0" w:line="94" w:lineRule="exact"/>
        <w:rPr>
          <w:rFonts w:ascii="Times New Roman" w:cs="Times New Roman" w:eastAsia="Times New Roman" w:hAnsi="Times New Roman"/>
          <w:sz w:val="14"/>
          <w:szCs w:val="14"/>
          <w:color w:val="auto"/>
        </w:rPr>
      </w:pPr>
    </w:p>
    <w:p>
      <w:pPr>
        <w:ind w:left="2220" w:right="539" w:hanging="334"/>
        <w:spacing w:after="0" w:line="248" w:lineRule="auto"/>
        <w:tabs>
          <w:tab w:leader="none" w:pos="2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7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47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4" w:lineRule="exact"/>
        <w:rPr>
          <w:rFonts w:ascii="Times New Roman" w:cs="Times New Roman" w:eastAsia="Times New Roman" w:hAnsi="Times New Roman"/>
          <w:sz w:val="14"/>
          <w:szCs w:val="14"/>
          <w:color w:val="auto"/>
        </w:rPr>
      </w:pPr>
    </w:p>
    <w:p>
      <w:pPr>
        <w:jc w:val="both"/>
        <w:ind w:left="2220" w:right="459" w:hanging="334"/>
        <w:spacing w:after="0" w:line="25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Times New Roman" w:cs="Times New Roman" w:eastAsia="Times New Roman" w:hAnsi="Times New Roman"/>
          <w:sz w:val="14"/>
          <w:szCs w:val="14"/>
          <w:color w:val="auto"/>
        </w:rPr>
      </w:pPr>
    </w:p>
    <w:p>
      <w:pPr>
        <w:ind w:left="2220" w:right="639" w:hanging="334"/>
        <w:spacing w:after="0" w:line="25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the inability by any ADS holder or beneficial owner to benefit from any distribution, offering, right or other benefit that is made available to holders of ordinary shares but is not, under the terms of the deposit agreement, made available to you.</w:t>
      </w:r>
    </w:p>
    <w:p>
      <w:pPr>
        <w:spacing w:after="0" w:line="70" w:lineRule="exact"/>
        <w:rPr>
          <w:rFonts w:ascii="Times New Roman" w:cs="Times New Roman" w:eastAsia="Times New Roman" w:hAnsi="Times New Roman"/>
          <w:sz w:val="14"/>
          <w:szCs w:val="14"/>
          <w:color w:val="auto"/>
        </w:rPr>
      </w:pPr>
    </w:p>
    <w:p>
      <w:pPr>
        <w:ind w:left="2220" w:right="63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may rely without any liability upon any written notice, request or other document believed to be genuine and to have been signed or presented by the proper parties.</w:t>
      </w:r>
    </w:p>
    <w:p>
      <w:pPr>
        <w:spacing w:after="0" w:line="64" w:lineRule="exact"/>
        <w:rPr>
          <w:rFonts w:ascii="Times New Roman" w:cs="Times New Roman" w:eastAsia="Times New Roman" w:hAnsi="Times New Roman"/>
          <w:sz w:val="14"/>
          <w:szCs w:val="14"/>
          <w:color w:val="auto"/>
        </w:rPr>
      </w:pPr>
    </w:p>
    <w:p>
      <w:pPr>
        <w:ind w:left="2220" w:right="89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also disclaim liability for any consequential or punitive damages for any breach of the terms of the deposit agreement.</w:t>
      </w:r>
    </w:p>
    <w:p>
      <w:pPr>
        <w:spacing w:after="0" w:line="6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disclaimer of any Securities Act liability is intended by any provision of the deposit agreement.</w:t>
      </w:r>
    </w:p>
    <w:p>
      <w:pPr>
        <w:spacing w:after="0" w:line="166"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Nothing in the deposit agreement gives rise to a partnership or joint venture, or establishes a fiduciary relationship, among us, the depositary bank and you as ADS holder.</w:t>
      </w:r>
    </w:p>
    <w:p>
      <w:pPr>
        <w:spacing w:after="0" w:line="136" w:lineRule="exact"/>
        <w:rPr>
          <w:sz w:val="20"/>
          <w:szCs w:val="20"/>
          <w:color w:val="auto"/>
        </w:rPr>
      </w:pPr>
    </w:p>
    <w:p>
      <w:pPr>
        <w:ind w:left="1480" w:right="459" w:firstLine="333"/>
        <w:spacing w:after="0" w:line="254" w:lineRule="auto"/>
        <w:rPr>
          <w:sz w:val="20"/>
          <w:szCs w:val="20"/>
          <w:color w:val="auto"/>
        </w:rPr>
      </w:pPr>
      <w:r>
        <w:rPr>
          <w:rFonts w:ascii="Times New Roman" w:cs="Times New Roman" w:eastAsia="Times New Roman" w:hAnsi="Times New Roman"/>
          <w:sz w:val="14"/>
          <w:szCs w:val="14"/>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40" w:lineRule="exact"/>
        <w:rPr>
          <w:sz w:val="20"/>
          <w:szCs w:val="20"/>
          <w:color w:val="auto"/>
        </w:rPr>
      </w:pPr>
    </w:p>
    <w:p>
      <w:pPr>
        <w:ind w:left="1480" w:right="379" w:firstLine="333"/>
        <w:spacing w:after="0" w:line="301" w:lineRule="auto"/>
        <w:rPr>
          <w:sz w:val="20"/>
          <w:szCs w:val="20"/>
          <w:color w:val="auto"/>
        </w:rPr>
      </w:pPr>
      <w:r>
        <w:rPr>
          <w:rFonts w:ascii="Times New Roman" w:cs="Times New Roman" w:eastAsia="Times New Roman" w:hAnsi="Times New Roman"/>
          <w:sz w:val="12"/>
          <w:szCs w:val="12"/>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15" w:lineRule="exact"/>
        <w:rPr>
          <w:sz w:val="20"/>
          <w:szCs w:val="20"/>
          <w:color w:val="auto"/>
        </w:rPr>
      </w:pPr>
    </w:p>
    <w:p>
      <w:pPr>
        <w:jc w:val="both"/>
        <w:ind w:left="1480" w:right="51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88"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As a Holder or Beneficial Owner (as defined in the deposit agreement) of ADSs, you will be responsible for the taxes and other governmental charges payable on the ADSs and the securities represented by the ADSs as provided for in the deposit agreement. We, the depositary and the custodian may deduct from any distribution the taxes and governmental charges payable by Holders and Beneficial Owners of ADSs and may sell any and all property on deposit to pay the taxes and governmental charges payable by ADS holders. As a Holder or Beneficial Owner of ADSs, you will be liable for any deficiency if the sale proceeds do not cover the taxes that are due.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7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333"/>
        <w:spacing w:after="0" w:line="247" w:lineRule="auto"/>
        <w:rPr>
          <w:sz w:val="20"/>
          <w:szCs w:val="20"/>
          <w:color w:val="auto"/>
        </w:rPr>
      </w:pPr>
      <w:r>
        <w:rPr>
          <w:rFonts w:ascii="Times New Roman" w:cs="Times New Roman" w:eastAsia="Times New Roman" w:hAnsi="Times New Roman"/>
          <w:sz w:val="14"/>
          <w:szCs w:val="14"/>
          <w:color w:val="auto"/>
        </w:rPr>
        <w:t>The depositary may refuse to issue ADSs, to deliver, transfer, split and combine ADRs or to release securities on deposit until all taxes and charges are paid by the applicable Holder or Beneficial Owner of ADSs.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Foreign Currency Conversion</w:t>
      </w:r>
    </w:p>
    <w:p>
      <w:pPr>
        <w:spacing w:after="0" w:line="88"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42" w:lineRule="exact"/>
        <w:rPr>
          <w:sz w:val="20"/>
          <w:szCs w:val="20"/>
          <w:color w:val="auto"/>
        </w:rPr>
      </w:pPr>
    </w:p>
    <w:p>
      <w:pPr>
        <w:ind w:left="1480" w:right="599" w:firstLine="333"/>
        <w:spacing w:after="0" w:line="264" w:lineRule="auto"/>
        <w:rPr>
          <w:sz w:val="20"/>
          <w:szCs w:val="20"/>
          <w:color w:val="auto"/>
        </w:rPr>
      </w:pPr>
      <w:r>
        <w:rPr>
          <w:rFonts w:ascii="Times New Roman" w:cs="Times New Roman" w:eastAsia="Times New Roman" w:hAnsi="Times New Roman"/>
          <w:sz w:val="14"/>
          <w:szCs w:val="14"/>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5" w:lineRule="exact"/>
        <w:rPr>
          <w:sz w:val="20"/>
          <w:szCs w:val="20"/>
          <w:color w:val="auto"/>
        </w:rPr>
      </w:pPr>
    </w:p>
    <w:p>
      <w:pPr>
        <w:ind w:left="2220" w:right="479" w:hanging="334"/>
        <w:spacing w:after="0" w:line="264" w:lineRule="auto"/>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foreign currency to the extent practical and lawful and distribute the U.S. dollars to the holders for whom the conversion and distribution is lawful and practical.</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the foreign currency to holders for whom the distribution is lawful and practical.</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the foreign currency (without liability for interest) for the applicable holders.</w:t>
      </w:r>
    </w:p>
    <w:p>
      <w:pPr>
        <w:spacing w:after="0" w:line="2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Law/Waiver of Jury Trial</w:t>
      </w:r>
    </w:p>
    <w:p>
      <w:pPr>
        <w:spacing w:after="0" w:line="88" w:lineRule="exact"/>
        <w:rPr>
          <w:sz w:val="20"/>
          <w:szCs w:val="20"/>
          <w:color w:val="auto"/>
        </w:rPr>
      </w:pPr>
    </w:p>
    <w:p>
      <w:pPr>
        <w:ind w:left="1480" w:right="399" w:firstLine="333"/>
        <w:spacing w:after="0" w:line="264" w:lineRule="auto"/>
        <w:rPr>
          <w:sz w:val="20"/>
          <w:szCs w:val="20"/>
          <w:color w:val="auto"/>
        </w:rPr>
      </w:pPr>
      <w:r>
        <w:rPr>
          <w:rFonts w:ascii="Times New Roman" w:cs="Times New Roman" w:eastAsia="Times New Roman" w:hAnsi="Times New Roman"/>
          <w:sz w:val="14"/>
          <w:szCs w:val="14"/>
          <w:color w:val="auto"/>
        </w:rPr>
        <w:t>The deposit agreement and the ADRs and ADSs will be interpreted in accordance with the laws of the State of New York. The rights of holders of ordinary shares (including ordinary shares represented by ADSs) are governed by the laws of England and Wales.</w:t>
      </w:r>
    </w:p>
    <w:p>
      <w:pPr>
        <w:spacing w:after="0" w:line="136" w:lineRule="exact"/>
        <w:rPr>
          <w:sz w:val="20"/>
          <w:szCs w:val="20"/>
          <w:color w:val="auto"/>
        </w:rPr>
      </w:pPr>
    </w:p>
    <w:p>
      <w:pPr>
        <w:ind w:left="1480" w:right="699" w:firstLine="333"/>
        <w:spacing w:after="0" w:line="264" w:lineRule="auto"/>
        <w:rPr>
          <w:sz w:val="20"/>
          <w:szCs w:val="20"/>
          <w:color w:val="auto"/>
        </w:rPr>
      </w:pPr>
      <w:r>
        <w:rPr>
          <w:rFonts w:ascii="Times New Roman" w:cs="Times New Roman" w:eastAsia="Times New Roman" w:hAnsi="Times New Roman"/>
          <w:sz w:val="14"/>
          <w:szCs w:val="14"/>
          <w:color w:val="auto"/>
        </w:rPr>
        <w:t>AS A PARTY TO THE DEPOSIT AGREEMENT, YOU IRREVOCABLY WAIVE YOUR RIGHT TO TRIAL BY JURY IN ANY LEGAL PROCEEDING AGAINST US AND/OR THE DEPOSITARY ARISING OUT OF THE DEPOSIT AGREEMENT OR THE ADRs.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7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0"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50" w:lineRule="exact"/>
        <w:rPr>
          <w:sz w:val="20"/>
          <w:szCs w:val="20"/>
          <w:color w:val="auto"/>
        </w:rPr>
      </w:pPr>
    </w:p>
    <w:p>
      <w:pPr>
        <w:ind w:left="1480" w:right="439" w:firstLine="333"/>
        <w:spacing w:after="0" w:line="300" w:lineRule="auto"/>
        <w:rPr>
          <w:sz w:val="20"/>
          <w:szCs w:val="20"/>
          <w:color w:val="auto"/>
        </w:rPr>
      </w:pPr>
      <w:r>
        <w:rPr>
          <w:rFonts w:ascii="Times New Roman" w:cs="Times New Roman" w:eastAsia="Times New Roman" w:hAnsi="Times New Roman"/>
          <w:sz w:val="12"/>
          <w:szCs w:val="12"/>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8"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9" w:lineRule="exact"/>
        <w:rPr>
          <w:sz w:val="20"/>
          <w:szCs w:val="20"/>
          <w:color w:val="auto"/>
        </w:rPr>
      </w:pPr>
    </w:p>
    <w:p>
      <w:pPr>
        <w:jc w:val="both"/>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499" w:firstLine="333"/>
        <w:spacing w:after="0" w:line="305" w:lineRule="auto"/>
        <w:rPr>
          <w:sz w:val="20"/>
          <w:szCs w:val="20"/>
          <w:color w:val="auto"/>
        </w:rPr>
      </w:pPr>
      <w:r>
        <w:rPr>
          <w:rFonts w:ascii="Times New Roman" w:cs="Times New Roman" w:eastAsia="Times New Roman" w:hAnsi="Times New Roman"/>
          <w:sz w:val="12"/>
          <w:szCs w:val="12"/>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6" w:lineRule="exact"/>
        <w:rPr>
          <w:sz w:val="20"/>
          <w:szCs w:val="20"/>
          <w:color w:val="auto"/>
        </w:rPr>
      </w:pPr>
    </w:p>
    <w:p>
      <w:pPr>
        <w:ind w:left="1480" w:right="559" w:firstLine="333"/>
        <w:spacing w:after="0" w:line="248"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4" w:lineRule="exact"/>
        <w:rPr>
          <w:sz w:val="20"/>
          <w:szCs w:val="20"/>
          <w:color w:val="auto"/>
        </w:rPr>
      </w:pPr>
    </w:p>
    <w:p>
      <w:pPr>
        <w:ind w:left="2220" w:hanging="334"/>
        <w:spacing w:after="0"/>
        <w:tabs>
          <w:tab w:leader="none" w:pos="2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7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4" w:lineRule="exact"/>
        <w:rPr>
          <w:rFonts w:ascii="Times New Roman" w:cs="Times New Roman" w:eastAsia="Times New Roman" w:hAnsi="Times New Roman"/>
          <w:sz w:val="14"/>
          <w:szCs w:val="14"/>
          <w:color w:val="auto"/>
        </w:rPr>
      </w:pPr>
    </w:p>
    <w:p>
      <w:pPr>
        <w:ind w:left="2220" w:right="519" w:hanging="334"/>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64" w:lineRule="exact"/>
        <w:rPr>
          <w:rFonts w:ascii="Times New Roman" w:cs="Times New Roman" w:eastAsia="Times New Roman" w:hAnsi="Times New Roman"/>
          <w:sz w:val="14"/>
          <w:szCs w:val="14"/>
          <w:color w:val="auto"/>
        </w:rPr>
      </w:pPr>
    </w:p>
    <w:p>
      <w:pPr>
        <w:ind w:left="2220" w:right="439" w:hanging="334"/>
        <w:spacing w:after="0" w:line="250"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4" w:lineRule="exact"/>
        <w:rPr>
          <w:rFonts w:ascii="Times New Roman" w:cs="Times New Roman" w:eastAsia="Times New Roman" w:hAnsi="Times New Roman"/>
          <w:sz w:val="14"/>
          <w:szCs w:val="14"/>
          <w:color w:val="auto"/>
        </w:rPr>
      </w:pPr>
    </w:p>
    <w:p>
      <w:pPr>
        <w:ind w:left="2220" w:right="479" w:hanging="334"/>
        <w:spacing w:after="0" w:line="349" w:lineRule="auto"/>
        <w:tabs>
          <w:tab w:leader="none" w:pos="22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4" w:lineRule="exact"/>
        <w:rPr>
          <w:rFonts w:ascii="Times New Roman" w:cs="Times New Roman" w:eastAsia="Times New Roman" w:hAnsi="Times New Roman"/>
          <w:sz w:val="14"/>
          <w:szCs w:val="14"/>
          <w:color w:val="auto"/>
        </w:rPr>
      </w:pPr>
    </w:p>
    <w:p>
      <w:pPr>
        <w:ind w:left="2220" w:right="499" w:hanging="334"/>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70" w:lineRule="exact"/>
        <w:rPr>
          <w:rFonts w:ascii="Times New Roman" w:cs="Times New Roman" w:eastAsia="Times New Roman" w:hAnsi="Times New Roman"/>
          <w:sz w:val="14"/>
          <w:szCs w:val="14"/>
          <w:color w:val="auto"/>
        </w:rPr>
      </w:pPr>
    </w:p>
    <w:p>
      <w:pPr>
        <w:ind w:left="2220" w:right="359" w:hanging="334"/>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0" w:lineRule="exact"/>
        <w:rPr>
          <w:rFonts w:ascii="Times New Roman" w:cs="Times New Roman" w:eastAsia="Times New Roman" w:hAnsi="Times New Roman"/>
          <w:sz w:val="14"/>
          <w:szCs w:val="14"/>
          <w:color w:val="auto"/>
        </w:rPr>
      </w:pPr>
    </w:p>
    <w:p>
      <w:pPr>
        <w:ind w:left="2220" w:right="659" w:hanging="334"/>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64" w:lineRule="exact"/>
        <w:rPr>
          <w:rFonts w:ascii="Times New Roman" w:cs="Times New Roman" w:eastAsia="Times New Roman" w:hAnsi="Times New Roman"/>
          <w:sz w:val="14"/>
          <w:szCs w:val="14"/>
          <w:color w:val="auto"/>
        </w:rPr>
      </w:pPr>
    </w:p>
    <w:p>
      <w:pPr>
        <w:ind w:left="2220" w:right="699" w:hanging="334"/>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70" w:lineRule="exact"/>
        <w:rPr>
          <w:rFonts w:ascii="Times New Roman" w:cs="Times New Roman" w:eastAsia="Times New Roman" w:hAnsi="Times New Roman"/>
          <w:sz w:val="14"/>
          <w:szCs w:val="14"/>
          <w:color w:val="auto"/>
        </w:rPr>
      </w:pPr>
    </w:p>
    <w:p>
      <w:pPr>
        <w:ind w:left="2220" w:right="479" w:hanging="334"/>
        <w:spacing w:after="0" w:line="25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0" w:lineRule="exact"/>
        <w:rPr>
          <w:rFonts w:ascii="Times New Roman" w:cs="Times New Roman" w:eastAsia="Times New Roman" w:hAnsi="Times New Roman"/>
          <w:sz w:val="14"/>
          <w:szCs w:val="14"/>
          <w:color w:val="auto"/>
        </w:rPr>
      </w:pPr>
    </w:p>
    <w:p>
      <w:pPr>
        <w:ind w:left="2220" w:right="359" w:hanging="334"/>
        <w:spacing w:after="0" w:line="250"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64" w:lineRule="exact"/>
        <w:rPr>
          <w:rFonts w:ascii="Times New Roman" w:cs="Times New Roman" w:eastAsia="Times New Roman" w:hAnsi="Times New Roman"/>
          <w:sz w:val="14"/>
          <w:szCs w:val="14"/>
          <w:color w:val="auto"/>
        </w:rPr>
      </w:pPr>
    </w:p>
    <w:p>
      <w:pPr>
        <w:ind w:left="2220" w:right="1139" w:hanging="334"/>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64" w:lineRule="exact"/>
        <w:rPr>
          <w:rFonts w:ascii="Times New Roman" w:cs="Times New Roman" w:eastAsia="Times New Roman" w:hAnsi="Times New Roman"/>
          <w:sz w:val="14"/>
          <w:szCs w:val="14"/>
          <w:color w:val="auto"/>
        </w:rPr>
      </w:pPr>
    </w:p>
    <w:p>
      <w:pPr>
        <w:ind w:left="2220" w:right="639" w:hanging="334"/>
        <w:spacing w:after="0" w:line="264" w:lineRule="auto"/>
        <w:tabs>
          <w:tab w:leader="none" w:pos="2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7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4" w:lineRule="exact"/>
        <w:rPr>
          <w:rFonts w:ascii="Times New Roman" w:cs="Times New Roman" w:eastAsia="Times New Roman" w:hAnsi="Times New Roman"/>
          <w:sz w:val="14"/>
          <w:szCs w:val="14"/>
          <w:color w:val="auto"/>
        </w:rPr>
      </w:pPr>
    </w:p>
    <w:p>
      <w:pPr>
        <w:ind w:left="2220" w:right="459" w:hanging="334"/>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of payment of debt securities if other than U.S. dollars and the manner of determining the equivalent amount in U.S. dollars;</w:t>
      </w:r>
    </w:p>
    <w:p>
      <w:pPr>
        <w:spacing w:after="0" w:line="117" w:lineRule="exact"/>
        <w:rPr>
          <w:rFonts w:ascii="Times New Roman" w:cs="Times New Roman" w:eastAsia="Times New Roman" w:hAnsi="Times New Roman"/>
          <w:sz w:val="12"/>
          <w:szCs w:val="12"/>
          <w:color w:val="auto"/>
        </w:rPr>
      </w:pPr>
    </w:p>
    <w:p>
      <w:pPr>
        <w:ind w:left="2220" w:right="419" w:hanging="334"/>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64" w:lineRule="exact"/>
        <w:rPr>
          <w:rFonts w:ascii="Times New Roman" w:cs="Times New Roman" w:eastAsia="Times New Roman" w:hAnsi="Times New Roman"/>
          <w:sz w:val="14"/>
          <w:szCs w:val="14"/>
          <w:color w:val="auto"/>
        </w:rPr>
      </w:pPr>
    </w:p>
    <w:p>
      <w:pPr>
        <w:ind w:left="2220" w:right="439" w:hanging="334"/>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8" w:lineRule="exact"/>
        <w:rPr>
          <w:sz w:val="20"/>
          <w:szCs w:val="20"/>
          <w:color w:val="auto"/>
        </w:rPr>
      </w:pPr>
    </w:p>
    <w:p>
      <w:pPr>
        <w:ind w:left="1480" w:right="479" w:firstLine="333"/>
        <w:spacing w:after="0" w:line="305" w:lineRule="auto"/>
        <w:rPr>
          <w:sz w:val="20"/>
          <w:szCs w:val="20"/>
          <w:color w:val="auto"/>
        </w:rPr>
      </w:pPr>
      <w:r>
        <w:rPr>
          <w:rFonts w:ascii="Times New Roman" w:cs="Times New Roman" w:eastAsia="Times New Roman" w:hAnsi="Times New Roman"/>
          <w:sz w:val="12"/>
          <w:szCs w:val="12"/>
          <w:color w:val="auto"/>
        </w:rPr>
        <w:t>We will set forth in the applicable prospectus supplement the terms, if any, on which a series of debt securities may be convertible into or exchangeable for our ordinary shares, ADSs or our other securities. We will include provisions as to settlement upon conversion or exchange and whether conversion or exchange is mandatory, at the option of the holder or at our option. We may include provisions pursuant to which the number of shares of our ordinary shares, ADSs or our other securities that the holders of the series of debt securities receive would be subject to adjustment.</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88"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88"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5" w:lineRule="exact"/>
        <w:rPr>
          <w:sz w:val="20"/>
          <w:szCs w:val="20"/>
          <w:color w:val="auto"/>
        </w:rPr>
      </w:pPr>
    </w:p>
    <w:p>
      <w:pPr>
        <w:jc w:val="both"/>
        <w:ind w:left="2220" w:right="419" w:hanging="334"/>
        <w:spacing w:after="0" w:line="316" w:lineRule="auto"/>
        <w:tabs>
          <w:tab w:leader="none" w:pos="2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37" w:lineRule="exact"/>
        <w:rPr>
          <w:rFonts w:ascii="Times New Roman" w:cs="Times New Roman" w:eastAsia="Times New Roman" w:hAnsi="Times New Roman"/>
          <w:sz w:val="12"/>
          <w:szCs w:val="12"/>
          <w:color w:val="auto"/>
        </w:rPr>
      </w:pPr>
    </w:p>
    <w:p>
      <w:pPr>
        <w:ind w:left="2220" w:right="419" w:hanging="334"/>
        <w:spacing w:after="0" w:line="305" w:lineRule="auto"/>
        <w:tabs>
          <w:tab w:leader="none" w:pos="22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7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right="359" w:hanging="334"/>
        <w:spacing w:after="0" w:line="250" w:lineRule="auto"/>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66"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50" w:lineRule="exact"/>
        <w:rPr>
          <w:sz w:val="20"/>
          <w:szCs w:val="20"/>
          <w:color w:val="auto"/>
        </w:rPr>
      </w:pPr>
    </w:p>
    <w:p>
      <w:pPr>
        <w:ind w:left="1480" w:right="499" w:firstLine="333"/>
        <w:spacing w:after="0" w:line="316" w:lineRule="auto"/>
        <w:rPr>
          <w:sz w:val="20"/>
          <w:szCs w:val="20"/>
          <w:color w:val="auto"/>
        </w:rPr>
      </w:pPr>
      <w:r>
        <w:rPr>
          <w:rFonts w:ascii="Times New Roman" w:cs="Times New Roman" w:eastAsia="Times New Roman" w:hAnsi="Times New Roman"/>
          <w:sz w:val="12"/>
          <w:szCs w:val="12"/>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09" w:lineRule="exact"/>
        <w:rPr>
          <w:sz w:val="20"/>
          <w:szCs w:val="20"/>
          <w:color w:val="auto"/>
        </w:rPr>
      </w:pPr>
    </w:p>
    <w:p>
      <w:pPr>
        <w:ind w:left="1480" w:right="459" w:firstLine="333"/>
        <w:spacing w:after="0" w:line="248"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7" w:lineRule="exact"/>
        <w:rPr>
          <w:sz w:val="20"/>
          <w:szCs w:val="20"/>
          <w:color w:val="auto"/>
        </w:rPr>
      </w:pPr>
    </w:p>
    <w:p>
      <w:pPr>
        <w:ind w:left="2220" w:hanging="334"/>
        <w:spacing w:after="0"/>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6"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65" w:lineRule="exact"/>
        <w:rPr>
          <w:sz w:val="20"/>
          <w:szCs w:val="20"/>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94" w:lineRule="exact"/>
        <w:rPr>
          <w:rFonts w:ascii="Times New Roman" w:cs="Times New Roman" w:eastAsia="Times New Roman" w:hAnsi="Times New Roman"/>
          <w:sz w:val="14"/>
          <w:szCs w:val="14"/>
          <w:color w:val="auto"/>
        </w:rPr>
      </w:pPr>
    </w:p>
    <w:p>
      <w:pPr>
        <w:ind w:left="2220" w:right="35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64" w:lineRule="exact"/>
        <w:rPr>
          <w:rFonts w:ascii="Times New Roman" w:cs="Times New Roman" w:eastAsia="Times New Roman" w:hAnsi="Times New Roman"/>
          <w:sz w:val="14"/>
          <w:szCs w:val="14"/>
          <w:color w:val="auto"/>
        </w:rPr>
      </w:pPr>
    </w:p>
    <w:p>
      <w:pPr>
        <w:ind w:left="2220" w:right="719" w:hanging="334"/>
        <w:spacing w:after="0" w:line="264" w:lineRule="auto"/>
        <w:tabs>
          <w:tab w:leader="none" w:pos="2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6" w:lineRule="exact"/>
        <w:rPr>
          <w:sz w:val="20"/>
          <w:szCs w:val="20"/>
          <w:color w:val="auto"/>
        </w:rPr>
      </w:pPr>
    </w:p>
    <w:p>
      <w:pPr>
        <w:ind w:left="1480" w:right="539" w:firstLine="333"/>
        <w:spacing w:after="0" w:line="264"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7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4" w:lineRule="exact"/>
        <w:rPr>
          <w:sz w:val="20"/>
          <w:szCs w:val="20"/>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4" w:lineRule="exact"/>
        <w:rPr>
          <w:rFonts w:ascii="Times New Roman" w:cs="Times New Roman" w:eastAsia="Times New Roman" w:hAnsi="Times New Roman"/>
          <w:sz w:val="14"/>
          <w:szCs w:val="14"/>
          <w:color w:val="auto"/>
        </w:rPr>
      </w:pPr>
    </w:p>
    <w:p>
      <w:pPr>
        <w:ind w:left="2220" w:right="479" w:hanging="334"/>
        <w:spacing w:after="0" w:line="250"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4" w:lineRule="exact"/>
        <w:rPr>
          <w:rFonts w:ascii="Times New Roman" w:cs="Times New Roman" w:eastAsia="Times New Roman" w:hAnsi="Times New Roman"/>
          <w:sz w:val="14"/>
          <w:szCs w:val="14"/>
          <w:color w:val="auto"/>
        </w:rPr>
      </w:pPr>
    </w:p>
    <w:p>
      <w:pPr>
        <w:ind w:left="2220" w:right="939" w:hanging="334"/>
        <w:spacing w:after="0" w:line="264"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4" w:lineRule="exact"/>
        <w:rPr>
          <w:rFonts w:ascii="Times New Roman" w:cs="Times New Roman" w:eastAsia="Times New Roman" w:hAnsi="Times New Roman"/>
          <w:sz w:val="14"/>
          <w:szCs w:val="14"/>
          <w:color w:val="auto"/>
        </w:rPr>
      </w:pPr>
    </w:p>
    <w:p>
      <w:pPr>
        <w:jc w:val="both"/>
        <w:ind w:left="2220" w:right="459" w:hanging="334"/>
        <w:spacing w:after="0" w:line="254" w:lineRule="auto"/>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66" w:lineRule="exact"/>
        <w:rPr>
          <w:sz w:val="20"/>
          <w:szCs w:val="20"/>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2220" w:hanging="334"/>
        <w:spacing w:after="0"/>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4" w:lineRule="exact"/>
        <w:rPr>
          <w:rFonts w:ascii="Times New Roman" w:cs="Times New Roman" w:eastAsia="Times New Roman" w:hAnsi="Times New Roman"/>
          <w:sz w:val="14"/>
          <w:szCs w:val="14"/>
          <w:color w:val="auto"/>
        </w:rPr>
      </w:pPr>
    </w:p>
    <w:p>
      <w:pPr>
        <w:ind w:left="2220" w:right="539" w:hanging="334"/>
        <w:spacing w:after="0" w:line="26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6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88" w:lineRule="exact"/>
        <w:rPr>
          <w:sz w:val="20"/>
          <w:szCs w:val="20"/>
          <w:color w:val="auto"/>
        </w:rPr>
      </w:pPr>
    </w:p>
    <w:p>
      <w:pPr>
        <w:ind w:left="1480" w:right="559" w:firstLine="333"/>
        <w:spacing w:after="0" w:line="264"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65" w:lineRule="exact"/>
        <w:rPr>
          <w:sz w:val="20"/>
          <w:szCs w:val="20"/>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4" w:lineRule="exact"/>
        <w:rPr>
          <w:rFonts w:ascii="Times New Roman" w:cs="Times New Roman" w:eastAsia="Times New Roman" w:hAnsi="Times New Roman"/>
          <w:sz w:val="14"/>
          <w:szCs w:val="14"/>
          <w:color w:val="auto"/>
        </w:rPr>
      </w:pPr>
    </w:p>
    <w:p>
      <w:pPr>
        <w:ind w:left="5580" w:right="3719" w:hanging="3694"/>
        <w:spacing w:after="0" w:line="432" w:lineRule="auto"/>
        <w:tabs>
          <w:tab w:leader="none" w:pos="221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 49</w:t>
      </w:r>
    </w:p>
    <w:p>
      <w:pPr>
        <w:sectPr>
          <w:pgSz w:w="11900" w:h="16838" w:orient="portrait"/>
          <w:cols w:equalWidth="0" w:num="1">
            <w:col w:w="10159"/>
          </w:cols>
          <w:pgMar w:left="300" w:top="37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66" w:lineRule="exact"/>
        <w:rPr>
          <w:sz w:val="20"/>
          <w:szCs w:val="20"/>
          <w:color w:val="auto"/>
        </w:rPr>
      </w:pPr>
    </w:p>
    <w:p>
      <w:pPr>
        <w:ind w:left="1480" w:right="819" w:firstLine="333"/>
        <w:spacing w:after="0" w:line="264"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8" w:lineRule="exact"/>
        <w:rPr>
          <w:sz w:val="20"/>
          <w:szCs w:val="20"/>
          <w:color w:val="auto"/>
        </w:rPr>
      </w:pPr>
    </w:p>
    <w:p>
      <w:pPr>
        <w:ind w:left="1480" w:right="479" w:firstLine="333"/>
        <w:spacing w:after="0" w:line="247"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50" w:lineRule="exact"/>
        <w:rPr>
          <w:sz w:val="20"/>
          <w:szCs w:val="20"/>
          <w:color w:val="auto"/>
        </w:rPr>
      </w:pPr>
    </w:p>
    <w:p>
      <w:pPr>
        <w:ind w:left="1480" w:right="419" w:firstLine="333"/>
        <w:spacing w:after="0" w:line="254"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42" w:lineRule="exact"/>
        <w:rPr>
          <w:sz w:val="20"/>
          <w:szCs w:val="20"/>
          <w:color w:val="auto"/>
        </w:rPr>
      </w:pPr>
    </w:p>
    <w:p>
      <w:pPr>
        <w:ind w:left="1480" w:right="359" w:firstLine="333"/>
        <w:spacing w:after="0" w:line="248"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9" w:lineRule="exact"/>
        <w:rPr>
          <w:sz w:val="20"/>
          <w:szCs w:val="20"/>
          <w:color w:val="auto"/>
        </w:rPr>
      </w:pPr>
    </w:p>
    <w:p>
      <w:pPr>
        <w:ind w:left="1480" w:right="599" w:firstLine="333"/>
        <w:spacing w:after="0" w:line="250"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4" w:lineRule="exact"/>
        <w:rPr>
          <w:sz w:val="20"/>
          <w:szCs w:val="20"/>
          <w:color w:val="auto"/>
        </w:rPr>
      </w:pPr>
    </w:p>
    <w:p>
      <w:pPr>
        <w:jc w:val="both"/>
        <w:ind w:left="2220" w:right="559" w:hanging="334"/>
        <w:spacing w:after="0" w:line="254"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0" w:lineRule="exact"/>
        <w:rPr>
          <w:rFonts w:ascii="Times New Roman" w:cs="Times New Roman" w:eastAsia="Times New Roman" w:hAnsi="Times New Roman"/>
          <w:sz w:val="14"/>
          <w:szCs w:val="14"/>
          <w:color w:val="auto"/>
        </w:rPr>
      </w:pPr>
    </w:p>
    <w:p>
      <w:pPr>
        <w:ind w:left="2220" w:right="559" w:hanging="334"/>
        <w:spacing w:after="0" w:line="264" w:lineRule="auto"/>
        <w:tabs>
          <w:tab w:leader="none" w:pos="2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Information Concerning the Debenture Trustee</w:t>
      </w:r>
    </w:p>
    <w:p>
      <w:pPr>
        <w:spacing w:after="0" w:line="88" w:lineRule="exact"/>
        <w:rPr>
          <w:sz w:val="20"/>
          <w:szCs w:val="20"/>
          <w:color w:val="auto"/>
        </w:rPr>
      </w:pPr>
    </w:p>
    <w:p>
      <w:pPr>
        <w:ind w:left="1480" w:right="359" w:firstLine="333"/>
        <w:spacing w:after="0" w:line="264"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7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8" w:lineRule="exact"/>
        <w:rPr>
          <w:sz w:val="20"/>
          <w:szCs w:val="20"/>
          <w:color w:val="auto"/>
        </w:rPr>
      </w:pPr>
    </w:p>
    <w:p>
      <w:pPr>
        <w:jc w:val="both"/>
        <w:ind w:left="1480" w:right="359" w:firstLine="333"/>
        <w:spacing w:after="0" w:line="254"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2" w:lineRule="exact"/>
        <w:rPr>
          <w:sz w:val="20"/>
          <w:szCs w:val="20"/>
          <w:color w:val="auto"/>
        </w:rPr>
      </w:pPr>
    </w:p>
    <w:p>
      <w:pPr>
        <w:ind w:left="1480" w:right="359" w:firstLine="333"/>
        <w:spacing w:after="0" w:line="247"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50" w:lineRule="exact"/>
        <w:rPr>
          <w:sz w:val="20"/>
          <w:szCs w:val="20"/>
          <w:color w:val="auto"/>
        </w:rPr>
      </w:pPr>
    </w:p>
    <w:p>
      <w:pPr>
        <w:ind w:left="1480" w:right="499" w:firstLine="333"/>
        <w:spacing w:after="0" w:line="254"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1480" w:right="679" w:firstLine="333"/>
        <w:spacing w:after="0" w:line="264"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of 1939 is applicable.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7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1480" w:right="539" w:firstLine="333"/>
        <w:spacing w:after="0" w:line="250" w:lineRule="auto"/>
        <w:rPr>
          <w:sz w:val="20"/>
          <w:szCs w:val="20"/>
          <w:color w:val="auto"/>
        </w:rPr>
      </w:pPr>
      <w:r>
        <w:rPr>
          <w:rFonts w:ascii="Times New Roman" w:cs="Times New Roman" w:eastAsia="Times New Roman" w:hAnsi="Times New Roman"/>
          <w:sz w:val="14"/>
          <w:szCs w:val="14"/>
          <w:color w:val="auto"/>
        </w:rPr>
        <w:t>We may issue warrants to purchase our ordinary shares represented by ADSs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applicable prospectus supplement will contain, where applicable, the following terms of and other information relating to the warrants:</w:t>
      </w:r>
    </w:p>
    <w:p>
      <w:pPr>
        <w:spacing w:after="0" w:line="94" w:lineRule="exact"/>
        <w:rPr>
          <w:sz w:val="20"/>
          <w:szCs w:val="20"/>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price at which we will issue, the warrants;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purchasable upon exercise of the warrants;</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our ADSs and the number of ADSs to be received upon exercise;</w:t>
      </w:r>
    </w:p>
    <w:p>
      <w:pPr>
        <w:spacing w:after="0" w:line="94" w:lineRule="exact"/>
        <w:rPr>
          <w:rFonts w:ascii="Times New Roman" w:cs="Times New Roman" w:eastAsia="Times New Roman" w:hAnsi="Times New Roman"/>
          <w:sz w:val="14"/>
          <w:szCs w:val="14"/>
          <w:color w:val="auto"/>
        </w:rPr>
      </w:pPr>
    </w:p>
    <w:p>
      <w:pPr>
        <w:ind w:left="2220" w:right="41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exercise price for our debt securities, the amount of debt securities to be received upon exercise, and a description of that series of debt securities;</w:t>
      </w:r>
    </w:p>
    <w:p>
      <w:pPr>
        <w:spacing w:after="0" w:line="64" w:lineRule="exact"/>
        <w:rPr>
          <w:rFonts w:ascii="Times New Roman" w:cs="Times New Roman" w:eastAsia="Times New Roman" w:hAnsi="Times New Roman"/>
          <w:sz w:val="14"/>
          <w:szCs w:val="14"/>
          <w:color w:val="auto"/>
        </w:rPr>
      </w:pPr>
    </w:p>
    <w:p>
      <w:pPr>
        <w:ind w:left="2220" w:right="45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4" w:lineRule="exact"/>
        <w:rPr>
          <w:rFonts w:ascii="Times New Roman" w:cs="Times New Roman" w:eastAsia="Times New Roman" w:hAnsi="Times New Roman"/>
          <w:sz w:val="14"/>
          <w:szCs w:val="14"/>
          <w:color w:val="auto"/>
        </w:rPr>
      </w:pPr>
    </w:p>
    <w:p>
      <w:pPr>
        <w:ind w:left="2220" w:right="65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fully registered form or bearer form, in definitive or global form or in any combination of these forms;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 and any applicable material U.K. tax consequences;</w:t>
      </w:r>
    </w:p>
    <w:p>
      <w:pPr>
        <w:spacing w:after="0" w:line="9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the warrants and the ADSs and/or debt securities will be separately transferable;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the warrants, if any;</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 and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terms of the warrants, including terms, procedures and limitations relating to the exchange and exercise of the warrants.</w:t>
      </w: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transfer agent and registrar for any warrants will be set forth in the applicable prospectus supplement.</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7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0" w:lineRule="exact"/>
        <w:rPr>
          <w:sz w:val="20"/>
          <w:szCs w:val="20"/>
          <w:color w:val="auto"/>
        </w:rPr>
      </w:pPr>
    </w:p>
    <w:p>
      <w:pPr>
        <w:ind w:left="1480" w:right="619" w:firstLine="333"/>
        <w:spacing w:after="0" w:line="264" w:lineRule="auto"/>
        <w:rPr>
          <w:sz w:val="20"/>
          <w:szCs w:val="20"/>
          <w:color w:val="auto"/>
        </w:rPr>
      </w:pPr>
      <w:r>
        <w:rPr>
          <w:rFonts w:ascii="Times New Roman" w:cs="Times New Roman" w:eastAsia="Times New Roman" w:hAnsi="Times New Roman"/>
          <w:sz w:val="14"/>
          <w:szCs w:val="14"/>
          <w:color w:val="auto"/>
        </w:rPr>
        <w:t>Certain material U.S. federal income tax and, to the extent applicable, material U.K. tax consequences relating to the purchase, ownership and disposition of any of the securities offered by this prospectus will be set forth in the prospectus supplement pertaining to those securities.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7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0" w:lineRule="exact"/>
        <w:rPr>
          <w:sz w:val="20"/>
          <w:szCs w:val="20"/>
          <w:color w:val="auto"/>
        </w:rPr>
      </w:pPr>
    </w:p>
    <w:p>
      <w:pPr>
        <w:ind w:left="1480" w:right="459" w:firstLine="333"/>
        <w:spacing w:after="0" w:line="248"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our ordinary shares, including ordinary shares in the form of ADSs being offered by this prospectus and certain other matters of English law, will be passed upon for us by Cooley (UK) LLP. Unless the applicable prospectus supplement indicates otherwise, the validity of the warrants and certain other matters of U.S. federal law will be passed upon for us by Cooley LLP, Reston, Virginia. Additional legal matters may be passed upon for any underwriters, dealers or agents by counsel that we will name in the applicable prospectus supplement.</w:t>
      </w:r>
    </w:p>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1480" w:right="419" w:firstLine="333"/>
        <w:spacing w:after="0" w:line="250" w:lineRule="auto"/>
        <w:rPr>
          <w:sz w:val="20"/>
          <w:szCs w:val="20"/>
          <w:color w:val="auto"/>
        </w:rPr>
      </w:pPr>
      <w:r>
        <w:rPr>
          <w:rFonts w:ascii="Times New Roman" w:cs="Times New Roman" w:eastAsia="Times New Roman" w:hAnsi="Times New Roman"/>
          <w:sz w:val="14"/>
          <w:szCs w:val="14"/>
          <w:color w:val="auto"/>
        </w:rPr>
        <w:t>The consolidated financial statements of Autolus Therapeutics plc appearing in Autolus Therapeutics plc’s Annual Report on Form 10-K for the fiscal year ended December 31, 2025 have been audited by Ernst &amp; Young LLP (PCAOB ID: 01438),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registered business address of Ernst &amp; Young LLP is R+ Building, 2 Blagrave Street, Reading RG1 1AZ, United Kingdom.</w:t>
      </w:r>
    </w:p>
    <w:p>
      <w:pPr>
        <w:spacing w:after="0" w:line="3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MATERIAL CHANGES</w:t>
      </w:r>
    </w:p>
    <w:p>
      <w:pPr>
        <w:spacing w:after="0" w:line="17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None.</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7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SERVICE OF PROCESS AND ENFORCEMENT OF LIABILITIES</w:t>
      </w:r>
    </w:p>
    <w:p>
      <w:pPr>
        <w:spacing w:after="0" w:line="170" w:lineRule="exact"/>
        <w:rPr>
          <w:sz w:val="20"/>
          <w:szCs w:val="20"/>
          <w:color w:val="auto"/>
        </w:rPr>
      </w:pPr>
    </w:p>
    <w:p>
      <w:pPr>
        <w:ind w:left="1480" w:right="379" w:firstLine="333"/>
        <w:spacing w:after="0" w:line="250" w:lineRule="auto"/>
        <w:rPr>
          <w:sz w:val="20"/>
          <w:szCs w:val="20"/>
          <w:color w:val="auto"/>
        </w:rPr>
      </w:pPr>
      <w:r>
        <w:rPr>
          <w:rFonts w:ascii="Times New Roman" w:cs="Times New Roman" w:eastAsia="Times New Roman" w:hAnsi="Times New Roman"/>
          <w:sz w:val="14"/>
          <w:szCs w:val="14"/>
          <w:color w:val="auto"/>
        </w:rPr>
        <w:t>We are incorporated and currently existing under the laws of England and Wales. In addition, certain of our directors and officers reside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4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 addition, uncertainty exists as to whether the courts of England and Wales would:</w:t>
      </w:r>
    </w:p>
    <w:p>
      <w:pPr>
        <w:spacing w:after="0" w:line="94" w:lineRule="exact"/>
        <w:rPr>
          <w:sz w:val="20"/>
          <w:szCs w:val="20"/>
          <w:color w:val="auto"/>
        </w:rPr>
      </w:pPr>
    </w:p>
    <w:p>
      <w:pPr>
        <w:ind w:left="2220" w:right="479" w:hanging="334"/>
        <w:spacing w:after="0" w:line="264"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64" w:lineRule="exact"/>
        <w:rPr>
          <w:rFonts w:ascii="Times New Roman" w:cs="Times New Roman" w:eastAsia="Times New Roman" w:hAnsi="Times New Roman"/>
          <w:sz w:val="14"/>
          <w:szCs w:val="14"/>
          <w:color w:val="auto"/>
        </w:rPr>
      </w:pPr>
    </w:p>
    <w:p>
      <w:pPr>
        <w:ind w:left="2220" w:right="579" w:hanging="334"/>
        <w:spacing w:after="0" w:line="264"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England and Wales against us or our directors or officers predicated upon the securities laws of the United States or any state in the United States.</w:t>
      </w:r>
    </w:p>
    <w:p>
      <w:pPr>
        <w:spacing w:after="0" w:line="136" w:lineRule="exact"/>
        <w:rPr>
          <w:sz w:val="20"/>
          <w:szCs w:val="20"/>
          <w:color w:val="auto"/>
        </w:rPr>
      </w:pPr>
    </w:p>
    <w:p>
      <w:pPr>
        <w:ind w:left="1480" w:right="419" w:firstLine="333"/>
        <w:spacing w:after="0" w:line="246" w:lineRule="auto"/>
        <w:rPr>
          <w:sz w:val="20"/>
          <w:szCs w:val="20"/>
          <w:color w:val="auto"/>
        </w:rPr>
      </w:pPr>
      <w:r>
        <w:rPr>
          <w:rFonts w:ascii="Times New Roman" w:cs="Times New Roman" w:eastAsia="Times New Roman" w:hAnsi="Times New Roman"/>
          <w:sz w:val="14"/>
          <w:szCs w:val="14"/>
          <w:color w:val="auto"/>
        </w:rPr>
        <w:t>We have been advised by Cooley LLP and Cooley (UK)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Cooley LLP and Cooley (UK)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79" w:lineRule="exact"/>
        <w:rPr>
          <w:sz w:val="20"/>
          <w:szCs w:val="20"/>
          <w:color w:val="auto"/>
        </w:rPr>
      </w:pPr>
    </w:p>
    <w:p>
      <w:pPr>
        <w:ind w:left="2220" w:right="59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U.S. court had jurisdiction over the original proceedings according to English conflicts of laws principles at the time when proceedings were initiated;</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claimant commenced proceedings in the courts of England and Wales and we were duly served with process;</w:t>
      </w:r>
    </w:p>
    <w:p>
      <w:pPr>
        <w:spacing w:after="0" w:line="94" w:lineRule="exact"/>
        <w:rPr>
          <w:rFonts w:ascii="Times New Roman" w:cs="Times New Roman" w:eastAsia="Times New Roman" w:hAnsi="Times New Roman"/>
          <w:sz w:val="14"/>
          <w:szCs w:val="14"/>
          <w:color w:val="auto"/>
        </w:rPr>
      </w:pPr>
    </w:p>
    <w:p>
      <w:pPr>
        <w:ind w:left="2220" w:right="61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judgment was final and conclusive on the merits in the sense of being final and unalterable in the court that pronounced it and being for a definite sum of money;</w:t>
      </w:r>
    </w:p>
    <w:p>
      <w:pPr>
        <w:spacing w:after="0" w:line="64" w:lineRule="exact"/>
        <w:rPr>
          <w:rFonts w:ascii="Times New Roman" w:cs="Times New Roman" w:eastAsia="Times New Roman" w:hAnsi="Times New Roman"/>
          <w:sz w:val="14"/>
          <w:szCs w:val="14"/>
          <w:color w:val="auto"/>
        </w:rPr>
      </w:pPr>
    </w:p>
    <w:p>
      <w:pPr>
        <w:ind w:left="2220" w:right="399" w:hanging="334"/>
        <w:spacing w:after="0" w:line="26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given by the courts was not in respect of penalties, taxes, fines or similar fiscal or revenue obligations (or otherwise based on a U.S. law that an English court considers to relate to a penal, revenue or other public law), or for a declaration or injunction;</w:t>
      </w:r>
    </w:p>
    <w:p>
      <w:pPr>
        <w:spacing w:after="0" w:line="6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was not procured by fraud;</w:t>
      </w:r>
    </w:p>
    <w:p>
      <w:pPr>
        <w:spacing w:after="0" w:line="94"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recognition or enforcement of the judgment in England and Wales would not be contrary to public policy or the Human Rights Act 1998;</w:t>
      </w:r>
    </w:p>
    <w:p>
      <w:pPr>
        <w:spacing w:after="0" w:line="1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proceedings pursuant to which judgment was obtained were not contrary to natural justice;</w:t>
      </w:r>
    </w:p>
    <w:p>
      <w:pPr>
        <w:spacing w:after="0" w:line="94" w:lineRule="exact"/>
        <w:rPr>
          <w:rFonts w:ascii="Times New Roman" w:cs="Times New Roman" w:eastAsia="Times New Roman" w:hAnsi="Times New Roman"/>
          <w:sz w:val="14"/>
          <w:szCs w:val="14"/>
          <w:color w:val="auto"/>
        </w:rPr>
      </w:pPr>
    </w:p>
    <w:p>
      <w:pPr>
        <w:ind w:left="2220" w:right="539" w:hanging="334"/>
        <w:spacing w:after="0" w:line="254"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70" w:lineRule="exact"/>
        <w:rPr>
          <w:rFonts w:ascii="Times New Roman" w:cs="Times New Roman" w:eastAsia="Times New Roman" w:hAnsi="Times New Roman"/>
          <w:sz w:val="14"/>
          <w:szCs w:val="14"/>
          <w:color w:val="auto"/>
        </w:rPr>
      </w:pPr>
    </w:p>
    <w:p>
      <w:pPr>
        <w:ind w:left="2220" w:hanging="334"/>
        <w:spacing w:after="0"/>
        <w:tabs>
          <w:tab w:leader="none" w:pos="22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not a prior decision of an English court or the court of another jurisdiction on the issues in question between the same parties; and</w:t>
      </w:r>
    </w:p>
    <w:p>
      <w:pPr>
        <w:spacing w:after="0" w:line="117" w:lineRule="exact"/>
        <w:rPr>
          <w:rFonts w:ascii="Times New Roman" w:cs="Times New Roman" w:eastAsia="Times New Roman" w:hAnsi="Times New Roman"/>
          <w:sz w:val="12"/>
          <w:szCs w:val="12"/>
          <w:color w:val="auto"/>
        </w:rPr>
      </w:pPr>
    </w:p>
    <w:p>
      <w:pPr>
        <w:ind w:left="2220" w:hanging="334"/>
        <w:spacing w:after="0"/>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English enforcement proceedings were commenced within the limitation period.</w:t>
      </w:r>
    </w:p>
    <w:p>
      <w:pPr>
        <w:spacing w:after="0" w:line="1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7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879" w:firstLine="333"/>
        <w:spacing w:after="0" w:line="349" w:lineRule="auto"/>
        <w:rPr>
          <w:sz w:val="20"/>
          <w:szCs w:val="20"/>
          <w:color w:val="auto"/>
        </w:rPr>
      </w:pPr>
      <w:r>
        <w:rPr>
          <w:rFonts w:ascii="Times New Roman" w:cs="Times New Roman" w:eastAsia="Times New Roman" w:hAnsi="Times New Roman"/>
          <w:sz w:val="12"/>
          <w:szCs w:val="12"/>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89" w:lineRule="exact"/>
        <w:rPr>
          <w:sz w:val="20"/>
          <w:szCs w:val="20"/>
          <w:color w:val="auto"/>
        </w:rPr>
      </w:pPr>
    </w:p>
    <w:p>
      <w:pPr>
        <w:ind w:left="1480" w:right="539" w:firstLine="333"/>
        <w:spacing w:after="0" w:line="254" w:lineRule="auto"/>
        <w:rPr>
          <w:sz w:val="20"/>
          <w:szCs w:val="20"/>
          <w:color w:val="auto"/>
        </w:rPr>
      </w:pPr>
      <w:r>
        <w:rPr>
          <w:rFonts w:ascii="Times New Roman" w:cs="Times New Roman" w:eastAsia="Times New Roman" w:hAnsi="Times New Roman"/>
          <w:sz w:val="14"/>
          <w:szCs w:val="14"/>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42" w:lineRule="exact"/>
        <w:rPr>
          <w:sz w:val="20"/>
          <w:szCs w:val="20"/>
          <w:color w:val="auto"/>
        </w:rPr>
      </w:pPr>
    </w:p>
    <w:p>
      <w:pPr>
        <w:ind w:left="1480" w:right="579" w:firstLine="333"/>
        <w:spacing w:after="0" w:line="264" w:lineRule="auto"/>
        <w:rPr>
          <w:sz w:val="20"/>
          <w:szCs w:val="20"/>
          <w:color w:val="auto"/>
        </w:rPr>
      </w:pPr>
      <w:r>
        <w:rPr>
          <w:rFonts w:ascii="Times New Roman" w:cs="Times New Roman" w:eastAsia="Times New Roman" w:hAnsi="Times New Roman"/>
          <w:sz w:val="14"/>
          <w:szCs w:val="14"/>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36" w:lineRule="exact"/>
        <w:rPr>
          <w:sz w:val="20"/>
          <w:szCs w:val="20"/>
          <w:color w:val="auto"/>
        </w:rPr>
      </w:pPr>
    </w:p>
    <w:p>
      <w:pPr>
        <w:jc w:val="both"/>
        <w:ind w:left="1480" w:right="519" w:firstLine="333"/>
        <w:spacing w:after="0" w:line="250" w:lineRule="auto"/>
        <w:rPr>
          <w:sz w:val="20"/>
          <w:szCs w:val="20"/>
          <w:color w:val="auto"/>
        </w:rPr>
      </w:pPr>
      <w:r>
        <w:rPr>
          <w:rFonts w:ascii="Times New Roman" w:cs="Times New Roman" w:eastAsia="Times New Roman" w:hAnsi="Times New Roman"/>
          <w:sz w:val="14"/>
          <w:szCs w:val="14"/>
          <w:color w:val="auto"/>
        </w:rPr>
        <w:t>In addition, it may not be possible to obtain an English judgment or to enforce that judgment if we are or become subject to any insolvency or similar proceedings, or if we have any set-off or counterclaim against the judgment creditor. Also note that, in any enforcement proceedings, we may raise any counterclaim that could have been brought if the action had been originally brought in England unless the subject of the counterclaim was in issue and denied in the U.S. proceedings.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7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0" w:lineRule="exact"/>
        <w:rPr>
          <w:sz w:val="20"/>
          <w:szCs w:val="20"/>
          <w:color w:val="auto"/>
        </w:rPr>
      </w:pPr>
    </w:p>
    <w:p>
      <w:pPr>
        <w:ind w:left="1480" w:right="439" w:firstLine="333"/>
        <w:spacing w:after="0" w:line="297" w:lineRule="auto"/>
        <w:rPr>
          <w:sz w:val="20"/>
          <w:szCs w:val="20"/>
          <w:color w:val="auto"/>
        </w:rPr>
      </w:pPr>
      <w:r>
        <w:rPr>
          <w:rFonts w:ascii="Times New Roman" w:cs="Times New Roman" w:eastAsia="Times New Roman" w:hAnsi="Times New Roman"/>
          <w:sz w:val="12"/>
          <w:szCs w:val="12"/>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19"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at the SEC’s website at www.sec.gov. You also may access these filings on our website at </w:t>
      </w:r>
      <w:r>
        <w:rPr>
          <w:rFonts w:ascii="Times New Roman" w:cs="Times New Roman" w:eastAsia="Times New Roman" w:hAnsi="Times New Roman"/>
          <w:sz w:val="14"/>
          <w:szCs w:val="14"/>
          <w:i w:val="1"/>
          <w:iCs w:val="1"/>
          <w:color w:val="auto"/>
        </w:rPr>
        <w:t>www.autolus.com</w:t>
      </w:r>
      <w:r>
        <w:rPr>
          <w:rFonts w:ascii="Times New Roman" w:cs="Times New Roman" w:eastAsia="Times New Roman" w:hAnsi="Times New Roman"/>
          <w:sz w:val="14"/>
          <w:szCs w:val="14"/>
          <w:color w:val="auto"/>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7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70" w:lineRule="exact"/>
        <w:rPr>
          <w:sz w:val="20"/>
          <w:szCs w:val="20"/>
          <w:color w:val="auto"/>
        </w:rPr>
      </w:pPr>
    </w:p>
    <w:p>
      <w:pPr>
        <w:ind w:left="1480" w:right="379" w:firstLine="333"/>
        <w:spacing w:after="0" w:line="24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the information we have filed with the SEC. Incorporation by reference allows us to disclose important information to you by referring you to those other documents. The information incorporated by reference is an important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w:t>
      </w:r>
    </w:p>
    <w:p>
      <w:pPr>
        <w:spacing w:after="0" w:line="149" w:lineRule="exact"/>
        <w:rPr>
          <w:sz w:val="20"/>
          <w:szCs w:val="20"/>
          <w:color w:val="auto"/>
        </w:rPr>
      </w:pPr>
    </w:p>
    <w:p>
      <w:pPr>
        <w:ind w:left="1480" w:right="459" w:firstLine="333"/>
        <w:spacing w:after="0" w:line="26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65" w:lineRule="exact"/>
        <w:rPr>
          <w:sz w:val="20"/>
          <w:szCs w:val="20"/>
          <w:color w:val="auto"/>
        </w:rPr>
      </w:pPr>
    </w:p>
    <w:p>
      <w:pPr>
        <w:ind w:left="2220" w:hanging="334"/>
        <w:spacing w:after="0"/>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9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27, 2026;</w:t>
      </w:r>
    </w:p>
    <w:p>
      <w:pPr>
        <w:spacing w:after="0" w:line="94" w:lineRule="exact"/>
        <w:rPr>
          <w:rFonts w:ascii="Times New Roman" w:cs="Times New Roman" w:eastAsia="Times New Roman" w:hAnsi="Times New Roman"/>
          <w:sz w:val="14"/>
          <w:szCs w:val="14"/>
          <w:color w:val="auto"/>
        </w:rPr>
      </w:pPr>
    </w:p>
    <w:p>
      <w:pPr>
        <w:ind w:left="2220" w:right="519" w:hanging="334"/>
        <w:spacing w:after="0" w:line="349" w:lineRule="auto"/>
        <w:tabs>
          <w:tab w:leader="none" w:pos="22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Current Reports on Form 8-K filed with the SEC on </w:t>
      </w:r>
      <w:hyperlink r:id="rId99">
        <w:r>
          <w:rPr>
            <w:rFonts w:ascii="Times New Roman" w:cs="Times New Roman" w:eastAsia="Times New Roman" w:hAnsi="Times New Roman"/>
            <w:sz w:val="12"/>
            <w:szCs w:val="12"/>
            <w:u w:val="single" w:color="auto"/>
            <w:color w:val="0000EE"/>
          </w:rPr>
          <w:t>January 12, 2026</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and </w:t>
      </w:r>
      <w:hyperlink r:id="rId100">
        <w:r>
          <w:rPr>
            <w:rFonts w:ascii="Times New Roman" w:cs="Times New Roman" w:eastAsia="Times New Roman" w:hAnsi="Times New Roman"/>
            <w:sz w:val="12"/>
            <w:szCs w:val="12"/>
            <w:u w:val="single" w:color="auto"/>
            <w:color w:val="0000EE"/>
          </w:rPr>
          <w:t>January 26, 2026</w:t>
        </w:r>
      </w:hyperlink>
      <w:r>
        <w:rPr>
          <w:rFonts w:ascii="Times New Roman" w:cs="Times New Roman" w:eastAsia="Times New Roman" w:hAnsi="Times New Roman"/>
          <w:sz w:val="12"/>
          <w:szCs w:val="12"/>
          <w:color w:val="auto"/>
        </w:rPr>
        <w:t>, solely to the extent the information in such reports has been incorporated by reference into the registration statement of which this prospectus forms a part; and</w:t>
      </w:r>
    </w:p>
    <w:p>
      <w:pPr>
        <w:spacing w:after="0" w:line="17" w:lineRule="exact"/>
        <w:rPr>
          <w:rFonts w:ascii="Times New Roman" w:cs="Times New Roman" w:eastAsia="Times New Roman" w:hAnsi="Times New Roman"/>
          <w:sz w:val="12"/>
          <w:szCs w:val="12"/>
          <w:color w:val="auto"/>
        </w:rPr>
      </w:pPr>
    </w:p>
    <w:p>
      <w:pPr>
        <w:ind w:left="2220" w:right="379" w:hanging="334"/>
        <w:spacing w:after="0" w:line="254" w:lineRule="auto"/>
        <w:tabs>
          <w:tab w:leader="none" w:pos="22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and ADSs contained in our Registration Statement on </w:t>
      </w:r>
      <w:hyperlink r:id="rId101">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under Section 12(b) of the Exchange Act on June 19, 2018, including any amendment or report filed for the purpose of updating such description (File No. 001-38547).</w:t>
      </w:r>
    </w:p>
    <w:p>
      <w:pPr>
        <w:spacing w:after="0" w:line="142" w:lineRule="exact"/>
        <w:rPr>
          <w:rFonts w:ascii="Times New Roman" w:cs="Times New Roman" w:eastAsia="Times New Roman" w:hAnsi="Times New Roman"/>
          <w:sz w:val="12"/>
          <w:szCs w:val="12"/>
          <w:color w:val="auto"/>
        </w:rPr>
      </w:pPr>
    </w:p>
    <w:p>
      <w:pPr>
        <w:ind w:left="1820"/>
        <w:spacing w:after="0"/>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w:t>
      </w:r>
    </w:p>
    <w:p>
      <w:pPr>
        <w:spacing w:after="0" w:line="14" w:lineRule="exact"/>
        <w:rPr>
          <w:rFonts w:ascii="Times New Roman" w:cs="Times New Roman" w:eastAsia="Times New Roman" w:hAnsi="Times New Roman"/>
          <w:sz w:val="12"/>
          <w:szCs w:val="12"/>
          <w:color w:val="auto"/>
        </w:rPr>
      </w:pPr>
    </w:p>
    <w:p>
      <w:pPr>
        <w:ind w:left="1480" w:right="659"/>
        <w:spacing w:after="0" w:line="245" w:lineRule="auto"/>
        <w:rPr>
          <w:sz w:val="20"/>
          <w:szCs w:val="20"/>
          <w:color w:val="auto"/>
        </w:rPr>
      </w:pPr>
      <w:r>
        <w:rPr>
          <w:rFonts w:ascii="Times New Roman" w:cs="Times New Roman" w:eastAsia="Times New Roman" w:hAnsi="Times New Roman"/>
          <w:sz w:val="14"/>
          <w:szCs w:val="14"/>
          <w:color w:val="auto"/>
        </w:rPr>
        <w:t>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w:t>
      </w:r>
    </w:p>
    <w:p>
      <w:pPr>
        <w:spacing w:after="0" w:line="149" w:lineRule="exact"/>
        <w:rPr>
          <w:rFonts w:ascii="Times New Roman" w:cs="Times New Roman" w:eastAsia="Times New Roman" w:hAnsi="Times New Roman"/>
          <w:sz w:val="12"/>
          <w:szCs w:val="12"/>
          <w:color w:val="auto"/>
        </w:rPr>
      </w:pPr>
    </w:p>
    <w:p>
      <w:pPr>
        <w:ind w:left="1480" w:right="499" w:firstLine="333"/>
        <w:spacing w:after="0" w:line="250"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65" w:lineRule="exact"/>
        <w:rPr>
          <w:rFonts w:ascii="Times New Roman" w:cs="Times New Roman" w:eastAsia="Times New Roman" w:hAnsi="Times New Roman"/>
          <w:sz w:val="12"/>
          <w:szCs w:val="12"/>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Autolus Therapeutics plc</w:t>
      </w:r>
    </w:p>
    <w:p>
      <w:pPr>
        <w:spacing w:after="0" w:line="14" w:lineRule="exact"/>
        <w:rPr>
          <w:rFonts w:ascii="Times New Roman" w:cs="Times New Roman" w:eastAsia="Times New Roman" w:hAnsi="Times New Roman"/>
          <w:sz w:val="12"/>
          <w:szCs w:val="12"/>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MediaWorks</w:t>
      </w:r>
    </w:p>
    <w:p>
      <w:pPr>
        <w:spacing w:after="0" w:line="2" w:lineRule="exact"/>
        <w:rPr>
          <w:rFonts w:ascii="Times New Roman" w:cs="Times New Roman" w:eastAsia="Times New Roman" w:hAnsi="Times New Roman"/>
          <w:sz w:val="12"/>
          <w:szCs w:val="12"/>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191 Wood Lane</w:t>
      </w:r>
    </w:p>
    <w:p>
      <w:pPr>
        <w:spacing w:after="0" w:line="2" w:lineRule="exact"/>
        <w:rPr>
          <w:rFonts w:ascii="Times New Roman" w:cs="Times New Roman" w:eastAsia="Times New Roman" w:hAnsi="Times New Roman"/>
          <w:sz w:val="12"/>
          <w:szCs w:val="12"/>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White City, London W12 7FP</w:t>
      </w:r>
    </w:p>
    <w:p>
      <w:pPr>
        <w:spacing w:after="0" w:line="2" w:lineRule="exact"/>
        <w:rPr>
          <w:rFonts w:ascii="Times New Roman" w:cs="Times New Roman" w:eastAsia="Times New Roman" w:hAnsi="Times New Roman"/>
          <w:sz w:val="12"/>
          <w:szCs w:val="12"/>
          <w:color w:val="auto"/>
        </w:rPr>
      </w:pPr>
    </w:p>
    <w:p>
      <w:pPr>
        <w:ind w:left="5180"/>
        <w:spacing w:after="0"/>
        <w:rPr>
          <w:sz w:val="20"/>
          <w:szCs w:val="20"/>
          <w:color w:val="auto"/>
        </w:rPr>
      </w:pPr>
      <w:r>
        <w:rPr>
          <w:rFonts w:ascii="Times New Roman" w:cs="Times New Roman" w:eastAsia="Times New Roman" w:hAnsi="Times New Roman"/>
          <w:sz w:val="14"/>
          <w:szCs w:val="14"/>
          <w:color w:val="auto"/>
        </w:rPr>
        <w:t>United Kingdom</w:t>
      </w:r>
    </w:p>
    <w:p>
      <w:pPr>
        <w:spacing w:after="0" w:line="2" w:lineRule="exact"/>
        <w:rPr>
          <w:rFonts w:ascii="Times New Roman" w:cs="Times New Roman" w:eastAsia="Times New Roman" w:hAnsi="Times New Roman"/>
          <w:sz w:val="12"/>
          <w:szCs w:val="12"/>
          <w:color w:val="auto"/>
        </w:rPr>
      </w:pPr>
    </w:p>
    <w:p>
      <w:pPr>
        <w:ind w:left="5140"/>
        <w:spacing w:after="0"/>
        <w:rPr>
          <w:sz w:val="20"/>
          <w:szCs w:val="20"/>
          <w:color w:val="auto"/>
        </w:rPr>
      </w:pPr>
      <w:r>
        <w:rPr>
          <w:rFonts w:ascii="Times New Roman" w:cs="Times New Roman" w:eastAsia="Times New Roman" w:hAnsi="Times New Roman"/>
          <w:sz w:val="14"/>
          <w:szCs w:val="14"/>
          <w:color w:val="auto"/>
        </w:rPr>
        <w:t>+44 20 3829 6230</w:t>
      </w:r>
    </w:p>
    <w:p>
      <w:pPr>
        <w:spacing w:after="0" w:line="152" w:lineRule="exact"/>
        <w:rPr>
          <w:rFonts w:ascii="Times New Roman" w:cs="Times New Roman" w:eastAsia="Times New Roman" w:hAnsi="Times New Roman"/>
          <w:sz w:val="12"/>
          <w:szCs w:val="12"/>
          <w:color w:val="auto"/>
        </w:rPr>
      </w:pPr>
    </w:p>
    <w:p>
      <w:pPr>
        <w:ind w:left="1480" w:right="719" w:firstLine="333"/>
        <w:spacing w:after="0" w:line="352" w:lineRule="auto"/>
        <w:rPr>
          <w:sz w:val="20"/>
          <w:szCs w:val="20"/>
          <w:color w:val="auto"/>
        </w:rPr>
      </w:pPr>
      <w:r>
        <w:rPr>
          <w:rFonts w:ascii="Times New Roman" w:cs="Times New Roman" w:eastAsia="Times New Roman" w:hAnsi="Times New Roman"/>
          <w:sz w:val="12"/>
          <w:szCs w:val="12"/>
          <w:color w:val="auto"/>
        </w:rPr>
        <w:t xml:space="preserve">You may also access these documents on our website, </w:t>
      </w:r>
      <w:r>
        <w:rPr>
          <w:rFonts w:ascii="Times New Roman" w:cs="Times New Roman" w:eastAsia="Times New Roman" w:hAnsi="Times New Roman"/>
          <w:sz w:val="12"/>
          <w:szCs w:val="12"/>
          <w:i w:val="1"/>
          <w:iCs w:val="1"/>
          <w:color w:val="auto"/>
        </w:rPr>
        <w:t>www.autolus.com</w:t>
      </w:r>
      <w:r>
        <w:rPr>
          <w:rFonts w:ascii="Times New Roman" w:cs="Times New Roman" w:eastAsia="Times New Roman" w:hAnsi="Times New Roman"/>
          <w:sz w:val="12"/>
          <w:szCs w:val="12"/>
          <w:color w:val="auto"/>
        </w:rPr>
        <w:t>. The information contained on, or that can be accessed through, our website is not a part of this prospectus. We have included our website address in this prospectus solely as an inactive textual reference.</w:t>
      </w:r>
    </w:p>
    <w:p>
      <w:pPr>
        <w:spacing w:after="0" w:line="87" w:lineRule="exact"/>
        <w:rPr>
          <w:rFonts w:ascii="Times New Roman" w:cs="Times New Roman" w:eastAsia="Times New Roman" w:hAnsi="Times New Roman"/>
          <w:sz w:val="12"/>
          <w:szCs w:val="12"/>
          <w:color w:val="auto"/>
        </w:rPr>
      </w:pPr>
    </w:p>
    <w:p>
      <w:pPr>
        <w:ind w:left="1480" w:right="359" w:firstLine="333"/>
        <w:spacing w:after="0" w:line="250" w:lineRule="auto"/>
        <w:rPr>
          <w:sz w:val="20"/>
          <w:szCs w:val="20"/>
          <w:color w:val="auto"/>
        </w:rPr>
      </w:pPr>
      <w:r>
        <w:rPr>
          <w:rFonts w:ascii="Times New Roman" w:cs="Times New Roman" w:eastAsia="Times New Roman" w:hAnsi="Times New Roman"/>
          <w:sz w:val="14"/>
          <w:szCs w:val="14"/>
          <w:color w:val="auto"/>
        </w:rPr>
        <w:t>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95" w:lineRule="exact"/>
        <w:rPr>
          <w:rFonts w:ascii="Times New Roman" w:cs="Times New Roman" w:eastAsia="Times New Roman" w:hAnsi="Times New Roman"/>
          <w:sz w:val="12"/>
          <w:szCs w:val="12"/>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7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8" w:lineRule="exact"/>
        <w:rPr>
          <w:sz w:val="20"/>
          <w:szCs w:val="20"/>
          <w:color w:val="auto"/>
        </w:rPr>
      </w:pPr>
    </w:p>
    <w:p>
      <w:pPr>
        <w:ind w:left="1480" w:right="799" w:firstLine="333"/>
        <w:spacing w:after="0" w:line="264"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w:t>
      </w:r>
    </w:p>
    <w:p>
      <w:pPr>
        <w:spacing w:after="0" w:line="169" w:lineRule="exact"/>
        <w:rPr>
          <w:sz w:val="20"/>
          <w:szCs w:val="20"/>
          <w:color w:val="auto"/>
        </w:rPr>
      </w:pPr>
    </w:p>
    <w:tbl>
      <w:tblPr>
        <w:tblLayout w:type="fixed"/>
        <w:tblInd w:w="2820" w:type="dxa"/>
        <w:tblCellMar>
          <w:top w:w="0" w:type="dxa"/>
          <w:left w:w="0" w:type="dxa"/>
          <w:bottom w:w="0" w:type="dxa"/>
          <w:right w:w="0" w:type="dxa"/>
        </w:tblCellMar>
      </w:tblPr>
      <w:tr>
        <w:trPr>
          <w:trHeight w:val="1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$20,715</w:t>
            </w:r>
          </w:p>
        </w:tc>
        <w:tc>
          <w:tcPr>
            <w:tcW w:w="200" w:type="dxa"/>
            <w:vAlign w:val="bottom"/>
            <w:shd w:val="clear" w:color="auto" w:fill="CCEEFF"/>
          </w:tcPr>
          <w:p>
            <w:pPr>
              <w:spacing w:after="0"/>
              <w:rPr>
                <w:sz w:val="14"/>
                <w:szCs w:val="14"/>
                <w:color w:val="auto"/>
              </w:rPr>
            </w:pPr>
          </w:p>
        </w:tc>
      </w:tr>
      <w:tr>
        <w:trPr>
          <w:trHeight w:val="16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1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163"/>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16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164"/>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20,715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71120</wp:posOffset>
            </wp:positionV>
            <wp:extent cx="57721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20" w:lineRule="exact"/>
        <w:rPr>
          <w:sz w:val="20"/>
          <w:szCs w:val="20"/>
          <w:color w:val="auto"/>
        </w:rPr>
      </w:pPr>
    </w:p>
    <w:p>
      <w:pPr>
        <w:ind w:left="1800" w:right="779" w:hanging="323"/>
        <w:spacing w:after="0" w:line="254" w:lineRule="auto"/>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p>
      <w:pPr>
        <w:spacing w:after="0" w:line="2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8" w:lineRule="exact"/>
        <w:rPr>
          <w:sz w:val="20"/>
          <w:szCs w:val="20"/>
          <w:color w:val="auto"/>
        </w:rPr>
      </w:pPr>
    </w:p>
    <w:p>
      <w:pPr>
        <w:ind w:left="1480" w:right="859" w:firstLine="333"/>
        <w:spacing w:after="0" w:line="264" w:lineRule="auto"/>
        <w:rPr>
          <w:sz w:val="20"/>
          <w:szCs w:val="20"/>
          <w:color w:val="auto"/>
        </w:rPr>
      </w:pPr>
      <w:r>
        <w:rPr>
          <w:rFonts w:ascii="Times New Roman" w:cs="Times New Roman" w:eastAsia="Times New Roman" w:hAnsi="Times New Roman"/>
          <w:sz w:val="14"/>
          <w:szCs w:val="14"/>
          <w:color w:val="auto"/>
        </w:rPr>
        <w:t>Subject to the U.K. Companies Act 2006, members of the Registrant’s board of directors and its officers have the benefit of the following indemnification provisions in the Registrant’s Articles of Association:</w:t>
      </w:r>
    </w:p>
    <w:p>
      <w:pPr>
        <w:spacing w:after="0" w:line="136" w:lineRule="exact"/>
        <w:rPr>
          <w:sz w:val="20"/>
          <w:szCs w:val="20"/>
          <w:color w:val="auto"/>
        </w:rPr>
      </w:pPr>
    </w:p>
    <w:p>
      <w:pPr>
        <w:ind w:left="1480" w:right="419" w:firstLine="333"/>
        <w:spacing w:after="0" w:line="248" w:lineRule="auto"/>
        <w:rPr>
          <w:sz w:val="20"/>
          <w:szCs w:val="20"/>
          <w:color w:val="auto"/>
        </w:rPr>
      </w:pPr>
      <w:r>
        <w:rPr>
          <w:rFonts w:ascii="Times New Roman" w:cs="Times New Roman" w:eastAsia="Times New Roman" w:hAnsi="Times New Roman"/>
          <w:sz w:val="14"/>
          <w:szCs w:val="14"/>
          <w:color w:val="auto"/>
        </w:rPr>
        <w:t>Current and former members of the Registrant’s board of directors or officers shall be indemnified against all relevant loss, including any liability incurred in defending any criminal or civil proceedings in which judgment is given in their favour or in which they are acquitted or the proceedings are otherwise disposed of without any finding or admission of any material breach of duty on their part or in connection with any application in which the court grants them relief from liability for negligence, default, breach of duty or breach of trust in relation to the Registrant’s or an associated company’s affairs.</w:t>
      </w:r>
    </w:p>
    <w:p>
      <w:pPr>
        <w:spacing w:after="0" w:line="149" w:lineRule="exact"/>
        <w:rPr>
          <w:sz w:val="20"/>
          <w:szCs w:val="20"/>
          <w:color w:val="auto"/>
        </w:rPr>
      </w:pPr>
    </w:p>
    <w:p>
      <w:pPr>
        <w:ind w:left="1480" w:right="419" w:firstLine="333"/>
        <w:spacing w:after="0" w:line="291" w:lineRule="auto"/>
        <w:rPr>
          <w:sz w:val="20"/>
          <w:szCs w:val="20"/>
          <w:color w:val="auto"/>
        </w:rPr>
      </w:pPr>
      <w:r>
        <w:rPr>
          <w:rFonts w:ascii="Times New Roman" w:cs="Times New Roman" w:eastAsia="Times New Roman" w:hAnsi="Times New Roman"/>
          <w:sz w:val="12"/>
          <w:szCs w:val="12"/>
          <w:color w:val="auto"/>
        </w:rPr>
        <w:t>In the case of current or former members of the Registrant’s board of directors, in compliance with the U.K. Companies Act 2006,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ind w:left="1480" w:right="439" w:hanging="3"/>
        <w:spacing w:after="0" w:line="244" w:lineRule="auto"/>
        <w:tabs>
          <w:tab w:leader="none" w:pos="171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 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w:t>
      </w:r>
    </w:p>
    <w:p>
      <w:pPr>
        <w:spacing w:after="0" w:line="150" w:lineRule="exact"/>
        <w:rPr>
          <w:sz w:val="20"/>
          <w:szCs w:val="20"/>
          <w:color w:val="auto"/>
        </w:rPr>
      </w:pPr>
    </w:p>
    <w:p>
      <w:pPr>
        <w:ind w:left="1480" w:right="639" w:firstLine="333"/>
        <w:spacing w:after="0" w:line="264" w:lineRule="auto"/>
        <w:rPr>
          <w:sz w:val="20"/>
          <w:szCs w:val="20"/>
          <w:color w:val="auto"/>
        </w:rPr>
      </w:pPr>
      <w:r>
        <w:rPr>
          <w:rFonts w:ascii="Times New Roman" w:cs="Times New Roman" w:eastAsia="Times New Roman" w:hAnsi="Times New Roman"/>
          <w:sz w:val="14"/>
          <w:szCs w:val="14"/>
          <w:color w:val="auto"/>
        </w:rPr>
        <w:t>In addition, the Registrant has entered into a deed of indemnity with each of its directors and officers. In addition to such indemnification, the Registrant provides its directors and officers with directors’ and officers’ liability insurance.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exhibits are filed with this registration statement or are incorporated herein by reference.</w:t>
      </w:r>
    </w:p>
    <w:p>
      <w:pPr>
        <w:spacing w:after="0" w:line="88" w:lineRule="exact"/>
        <w:rPr>
          <w:sz w:val="20"/>
          <w:szCs w:val="20"/>
          <w:color w:val="auto"/>
        </w:rPr>
      </w:pPr>
    </w:p>
    <w:tbl>
      <w:tblPr>
        <w:tblLayout w:type="fixed"/>
        <w:tblInd w:w="1480" w:type="dxa"/>
        <w:tblCellMar>
          <w:top w:w="0" w:type="dxa"/>
          <w:left w:w="0" w:type="dxa"/>
          <w:bottom w:w="0" w:type="dxa"/>
          <w:right w:w="0" w:type="dxa"/>
        </w:tblCellMar>
      </w:tblPr>
      <w:tr>
        <w:trPr>
          <w:trHeight w:val="131"/>
        </w:trPr>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240" w:type="dxa"/>
            <w:vAlign w:val="bottom"/>
            <w:gridSpan w:val="2"/>
            <w:vMerge w:val="restart"/>
          </w:tcPr>
          <w:p>
            <w:pPr>
              <w:jc w:val="right"/>
              <w:ind w:right="140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160" w:type="dxa"/>
            <w:vAlign w:val="bottom"/>
            <w:vMerge w:val="restart"/>
          </w:tcPr>
          <w:p>
            <w:pPr>
              <w:spacing w:after="0"/>
              <w:rPr>
                <w:sz w:val="7"/>
                <w:szCs w:val="7"/>
                <w:color w:val="auto"/>
              </w:rPr>
            </w:pPr>
          </w:p>
        </w:tc>
        <w:tc>
          <w:tcPr>
            <w:tcW w:w="940" w:type="dxa"/>
            <w:vAlign w:val="bottom"/>
            <w:gridSpan w:val="2"/>
          </w:tcPr>
          <w:p>
            <w:pPr>
              <w:jc w:val="center"/>
              <w:ind w:right="160"/>
              <w:spacing w:after="0" w:line="84" w:lineRule="exact"/>
              <w:rPr>
                <w:sz w:val="20"/>
                <w:szCs w:val="20"/>
                <w:color w:val="auto"/>
              </w:rPr>
            </w:pPr>
            <w:r>
              <w:rPr>
                <w:rFonts w:ascii="Times New Roman" w:cs="Times New Roman" w:eastAsia="Times New Roman" w:hAnsi="Times New Roman"/>
                <w:sz w:val="9"/>
                <w:szCs w:val="9"/>
                <w:b w:val="1"/>
                <w:bCs w:val="1"/>
                <w:color w:val="auto"/>
              </w:rPr>
              <w:t>SCHEDULE/</w:t>
            </w:r>
          </w:p>
        </w:tc>
        <w:tc>
          <w:tcPr>
            <w:tcW w:w="80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FILE</w:t>
            </w:r>
          </w:p>
        </w:tc>
        <w:tc>
          <w:tcPr>
            <w:tcW w:w="16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131"/>
              <w:spacing w:after="0" w:line="84" w:lineRule="exact"/>
              <w:rPr>
                <w:sz w:val="20"/>
                <w:szCs w:val="20"/>
                <w:color w:val="auto"/>
              </w:rPr>
            </w:pPr>
            <w:r>
              <w:rPr>
                <w:rFonts w:ascii="Times New Roman" w:cs="Times New Roman" w:eastAsia="Times New Roman" w:hAnsi="Times New Roman"/>
                <w:sz w:val="9"/>
                <w:szCs w:val="9"/>
                <w:b w:val="1"/>
                <w:bCs w:val="1"/>
                <w:color w:val="auto"/>
              </w:rPr>
              <w:t>FILE</w:t>
            </w:r>
          </w:p>
        </w:tc>
        <w:tc>
          <w:tcPr>
            <w:tcW w:w="0" w:type="dxa"/>
            <w:vAlign w:val="bottom"/>
          </w:tcPr>
          <w:p>
            <w:pPr>
              <w:spacing w:after="0"/>
              <w:rPr>
                <w:sz w:val="1"/>
                <w:szCs w:val="1"/>
                <w:color w:val="auto"/>
              </w:rPr>
            </w:pPr>
          </w:p>
        </w:tc>
      </w:tr>
      <w:tr>
        <w:trPr>
          <w:trHeight w:val="131"/>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1"/>
                <w:szCs w:val="11"/>
                <w:color w:val="auto"/>
              </w:rPr>
            </w:pPr>
          </w:p>
        </w:tc>
        <w:tc>
          <w:tcPr>
            <w:tcW w:w="4240" w:type="dxa"/>
            <w:vAlign w:val="bottom"/>
            <w:tcBorders>
              <w:bottom w:val="single" w:sz="8" w:color="auto"/>
            </w:tcBorders>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w:t>
            </w:r>
          </w:p>
        </w:tc>
        <w:tc>
          <w:tcPr>
            <w:tcW w:w="16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160" w:type="dxa"/>
            <w:vAlign w:val="bottom"/>
          </w:tcPr>
          <w:p>
            <w:pPr>
              <w:spacing w:after="0"/>
              <w:rPr>
                <w:sz w:val="17"/>
                <w:szCs w:val="17"/>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160" w:type="dxa"/>
            <w:vAlign w:val="bottom"/>
          </w:tcPr>
          <w:p>
            <w:pPr>
              <w:spacing w:after="0"/>
              <w:rPr>
                <w:sz w:val="16"/>
                <w:szCs w:val="16"/>
                <w:color w:val="auto"/>
              </w:rPr>
            </w:pPr>
          </w:p>
        </w:tc>
        <w:tc>
          <w:tcPr>
            <w:tcW w:w="284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6"/>
              </w:rPr>
            </w:pPr>
            <w:hyperlink r:id="rId105">
              <w:r>
                <w:rPr>
                  <w:rFonts w:ascii="Times New Roman" w:cs="Times New Roman" w:eastAsia="Times New Roman" w:hAnsi="Times New Roman"/>
                  <w:sz w:val="14"/>
                  <w:szCs w:val="14"/>
                  <w:color w:val="0000EE"/>
                  <w:w w:val="96"/>
                </w:rPr>
                <w:t>Articles of Association of Autolus Therapeutics plc.</w:t>
              </w:r>
            </w:hyperlink>
          </w:p>
        </w:tc>
        <w:tc>
          <w:tcPr>
            <w:tcW w:w="1560" w:type="dxa"/>
            <w:vAlign w:val="bottom"/>
            <w:gridSpan w:val="2"/>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Form F-1/A</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333-224720</w:t>
            </w:r>
          </w:p>
        </w:tc>
        <w:tc>
          <w:tcPr>
            <w:tcW w:w="720" w:type="dxa"/>
            <w:vAlign w:val="bottom"/>
            <w:gridSpan w:val="2"/>
          </w:tcPr>
          <w:p>
            <w:pPr>
              <w:jc w:val="right"/>
              <w:ind w:right="346"/>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66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6/19/18</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220" w:right="4079" w:hanging="743"/>
        <w:spacing w:after="0" w:line="294" w:lineRule="auto"/>
        <w:tabs>
          <w:tab w:leader="none" w:pos="1553" w:val="left"/>
        </w:tabs>
        <w:numPr>
          <w:ilvl w:val="0"/>
          <w:numId w:val="55"/>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4"/>
          <w:szCs w:val="14"/>
          <w:color w:val="auto"/>
        </w:rPr>
        <w:t>  4.1</w:t>
      </w:r>
      <w:hyperlink r:id="rId106">
        <w:r>
          <w:rPr>
            <w:rFonts w:ascii="Times New Roman" w:cs="Times New Roman" w:eastAsia="Times New Roman" w:hAnsi="Times New Roman"/>
            <w:sz w:val="12"/>
            <w:szCs w:val="12"/>
            <w:u w:val="single" w:color="auto"/>
            <w:color w:val="0000EE"/>
          </w:rPr>
          <w:t>Deposit Agreement by and among the registrant, Citibank, N.A., as the</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Depositary bank and the holders and beneficial owners of American</w:t>
        </w:r>
      </w:hyperlink>
    </w:p>
    <w:tbl>
      <w:tblPr>
        <w:tblLayout w:type="fixed"/>
        <w:tblInd w:w="1480" w:type="dxa"/>
        <w:tblCellMar>
          <w:top w:w="0" w:type="dxa"/>
          <w:left w:w="0" w:type="dxa"/>
          <w:bottom w:w="0" w:type="dxa"/>
          <w:right w:w="0" w:type="dxa"/>
        </w:tblCellMar>
      </w:tblPr>
      <w:tr>
        <w:trPr>
          <w:trHeight w:val="134"/>
        </w:trPr>
        <w:tc>
          <w:tcPr>
            <w:tcW w:w="740" w:type="dxa"/>
            <w:vAlign w:val="bottom"/>
          </w:tcPr>
          <w:p>
            <w:pPr>
              <w:spacing w:after="0"/>
              <w:rPr>
                <w:sz w:val="11"/>
                <w:szCs w:val="11"/>
                <w:color w:val="auto"/>
              </w:rPr>
            </w:pPr>
          </w:p>
        </w:tc>
        <w:tc>
          <w:tcPr>
            <w:tcW w:w="4340" w:type="dxa"/>
            <w:vAlign w:val="bottom"/>
            <w:gridSpan w:val="7"/>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Depositary Shares issued thereunder.</w:t>
              </w:r>
            </w:hyperlink>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Form 20-F</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001-38547</w:t>
            </w:r>
          </w:p>
        </w:tc>
        <w:tc>
          <w:tcPr>
            <w:tcW w:w="6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2.1</w:t>
            </w:r>
          </w:p>
        </w:tc>
        <w:tc>
          <w:tcPr>
            <w:tcW w:w="7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2/25/19</w:t>
            </w:r>
          </w:p>
        </w:tc>
      </w:tr>
      <w:tr>
        <w:trPr>
          <w:trHeight w:val="20"/>
        </w:trPr>
        <w:tc>
          <w:tcPr>
            <w:tcW w:w="7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348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6"/>
              </w:rPr>
            </w:pPr>
            <w:hyperlink r:id="rId106">
              <w:r>
                <w:rPr>
                  <w:rFonts w:ascii="Times New Roman" w:cs="Times New Roman" w:eastAsia="Times New Roman" w:hAnsi="Times New Roman"/>
                  <w:sz w:val="14"/>
                  <w:szCs w:val="14"/>
                  <w:color w:val="0000EE"/>
                  <w:w w:val="96"/>
                </w:rPr>
                <w:t>Form of American Depositary Receipt (included in exhibit 4.1).</w:t>
              </w:r>
            </w:hyperlink>
          </w:p>
        </w:tc>
        <w:tc>
          <w:tcPr>
            <w:tcW w:w="860" w:type="dxa"/>
            <w:vAlign w:val="bottom"/>
            <w:gridSpan w:val="3"/>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Form 20-F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001-38547</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2.2</w:t>
            </w: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2/25/19</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20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6"/>
              </w:rPr>
            </w:pPr>
            <w:hyperlink r:id="rId107">
              <w:r>
                <w:rPr>
                  <w:rFonts w:ascii="Times New Roman" w:cs="Times New Roman" w:eastAsia="Times New Roman" w:hAnsi="Times New Roman"/>
                  <w:sz w:val="14"/>
                  <w:szCs w:val="14"/>
                  <w:color w:val="0000EE"/>
                  <w:w w:val="96"/>
                </w:rPr>
                <w:t>Registration Rights Agreement by and among the registrant and the investors</w:t>
              </w:r>
            </w:hyperlink>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43"/>
        </w:trPr>
        <w:tc>
          <w:tcPr>
            <w:tcW w:w="740" w:type="dxa"/>
            <w:vAlign w:val="bottom"/>
          </w:tcPr>
          <w:p>
            <w:pPr>
              <w:spacing w:after="0"/>
              <w:rPr>
                <w:sz w:val="12"/>
                <w:szCs w:val="12"/>
                <w:color w:val="auto"/>
              </w:rPr>
            </w:pPr>
          </w:p>
        </w:tc>
        <w:tc>
          <w:tcPr>
            <w:tcW w:w="2260" w:type="dxa"/>
            <w:vAlign w:val="bottom"/>
            <w:tcBorders>
              <w:bottom w:val="single" w:sz="8" w:color="0000EE"/>
            </w:tcBorders>
            <w:gridSpan w:val="3"/>
          </w:tcPr>
          <w:p>
            <w:pPr>
              <w:spacing w:after="0" w:line="143" w:lineRule="exact"/>
              <w:rPr>
                <w:rFonts w:ascii="Times New Roman" w:cs="Times New Roman" w:eastAsia="Times New Roman" w:hAnsi="Times New Roman"/>
                <w:sz w:val="14"/>
                <w:szCs w:val="14"/>
                <w:color w:val="0000EE"/>
                <w:w w:val="96"/>
              </w:rPr>
            </w:pPr>
            <w:hyperlink r:id="rId107">
              <w:r>
                <w:rPr>
                  <w:rFonts w:ascii="Times New Roman" w:cs="Times New Roman" w:eastAsia="Times New Roman" w:hAnsi="Times New Roman"/>
                  <w:sz w:val="14"/>
                  <w:szCs w:val="14"/>
                  <w:color w:val="0000EE"/>
                  <w:w w:val="96"/>
                </w:rPr>
                <w:t>named therein, dated as of June 26, 2018.</w:t>
              </w:r>
            </w:hyperlink>
          </w:p>
        </w:tc>
        <w:tc>
          <w:tcPr>
            <w:tcW w:w="2080" w:type="dxa"/>
            <w:vAlign w:val="bottom"/>
            <w:gridSpan w:val="4"/>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Form 20-F</w:t>
            </w: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333-224720</w:t>
            </w:r>
          </w:p>
        </w:tc>
        <w:tc>
          <w:tcPr>
            <w:tcW w:w="60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color w:val="auto"/>
              </w:rPr>
              <w:t>2.3</w:t>
            </w:r>
          </w:p>
        </w:tc>
        <w:tc>
          <w:tcPr>
            <w:tcW w:w="700" w:type="dxa"/>
            <w:vAlign w:val="bottom"/>
          </w:tcPr>
          <w:p>
            <w:pPr>
              <w:ind w:left="220"/>
              <w:spacing w:after="0" w:line="143" w:lineRule="exact"/>
              <w:rPr>
                <w:sz w:val="20"/>
                <w:szCs w:val="20"/>
                <w:color w:val="auto"/>
              </w:rPr>
            </w:pPr>
            <w:r>
              <w:rPr>
                <w:rFonts w:ascii="Times New Roman" w:cs="Times New Roman" w:eastAsia="Times New Roman" w:hAnsi="Times New Roman"/>
                <w:sz w:val="14"/>
                <w:szCs w:val="14"/>
                <w:color w:val="auto"/>
                <w:w w:val="92"/>
              </w:rPr>
              <w:t>11/23/18</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4340" w:type="dxa"/>
            <w:vAlign w:val="bottom"/>
            <w:gridSpan w:val="7"/>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Warrant issued to BXLS V—Autobahn L.P. dated November 6, 2021.</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Form 6-K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001-38547</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99.3</w:t>
            </w: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11/8/21</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1380" w:type="dxa"/>
            <w:vAlign w:val="bottom"/>
            <w:tcBorders>
              <w:top w:val="single" w:sz="8" w:color="0000EE"/>
              <w:bottom w:val="single" w:sz="8" w:color="0000EE"/>
            </w:tcBorders>
          </w:tcPr>
          <w:p>
            <w:pPr>
              <w:spacing w:after="0"/>
              <w:rPr>
                <w:rFonts w:ascii="Times New Roman" w:cs="Times New Roman" w:eastAsia="Times New Roman" w:hAnsi="Times New Roman"/>
                <w:sz w:val="14"/>
                <w:szCs w:val="14"/>
                <w:color w:val="0000EE"/>
                <w:w w:val="95"/>
              </w:rPr>
            </w:pPr>
            <w:hyperlink r:id="rId109">
              <w:r>
                <w:rPr>
                  <w:rFonts w:ascii="Times New Roman" w:cs="Times New Roman" w:eastAsia="Times New Roman" w:hAnsi="Times New Roman"/>
                  <w:sz w:val="14"/>
                  <w:szCs w:val="14"/>
                  <w:color w:val="0000EE"/>
                  <w:w w:val="95"/>
                </w:rPr>
                <w:t>Description of Securities.</w:t>
              </w:r>
            </w:hyperlink>
          </w:p>
        </w:tc>
        <w:tc>
          <w:tcPr>
            <w:tcW w:w="2400" w:type="dxa"/>
            <w:vAlign w:val="bottom"/>
            <w:tcBorders>
              <w:top w:val="single" w:sz="8" w:color="0000EE"/>
            </w:tcBorders>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 10-K</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001-38547</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2.4</w:t>
            </w: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3/7/23</w:t>
            </w:r>
          </w:p>
        </w:tc>
      </w:tr>
    </w:tbl>
    <w:p>
      <w:pPr>
        <w:spacing w:after="0" w:line="69" w:lineRule="exact"/>
        <w:rPr>
          <w:sz w:val="20"/>
          <w:szCs w:val="20"/>
          <w:color w:val="auto"/>
        </w:rPr>
      </w:pPr>
    </w:p>
    <w:p>
      <w:pPr>
        <w:ind w:left="1540" w:hanging="63"/>
        <w:spacing w:after="0"/>
        <w:tabs>
          <w:tab w:leader="none" w:pos="1540" w:val="left"/>
        </w:tabs>
        <w:numPr>
          <w:ilvl w:val="0"/>
          <w:numId w:val="56"/>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4.6</w:t>
      </w:r>
      <w:hyperlink r:id="rId110">
        <w:r>
          <w:rPr>
            <w:rFonts w:ascii="Times New Roman" w:cs="Times New Roman" w:eastAsia="Times New Roman" w:hAnsi="Times New Roman"/>
            <w:sz w:val="12"/>
            <w:szCs w:val="12"/>
            <w:u w:val="single" w:color="auto"/>
            <w:color w:val="0000EE"/>
          </w:rPr>
          <w:t>Registration Rights Agreement by and between the Registrant and BXLS V</w:t>
        </w:r>
      </w:hyperlink>
    </w:p>
    <w:p>
      <w:pPr>
        <w:spacing w:after="0" w:line="1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760" w:type="dxa"/>
            <w:vAlign w:val="bottom"/>
            <w:gridSpan w:val="3"/>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—Autobahn L.P. dated November 6, 2021.</w:t>
              </w:r>
            </w:hyperlink>
          </w:p>
        </w:tc>
        <w:tc>
          <w:tcPr>
            <w:tcW w:w="1480" w:type="dxa"/>
            <w:vAlign w:val="bottom"/>
          </w:tcPr>
          <w:p>
            <w:pPr>
              <w:jc w:val="center"/>
              <w:ind w:left="512"/>
              <w:spacing w:after="0"/>
              <w:rPr>
                <w:sz w:val="20"/>
                <w:szCs w:val="20"/>
                <w:color w:val="auto"/>
              </w:rPr>
            </w:pPr>
            <w:r>
              <w:rPr>
                <w:rFonts w:ascii="Times New Roman" w:cs="Times New Roman" w:eastAsia="Times New Roman" w:hAnsi="Times New Roman"/>
                <w:sz w:val="14"/>
                <w:szCs w:val="14"/>
                <w:color w:val="auto"/>
                <w:w w:val="97"/>
              </w:rPr>
              <w:t>Form 6-K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001-38547</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99.2</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3"/>
              </w:rPr>
              <w:t>11/8/21</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2320" w:type="dxa"/>
            <w:vAlign w:val="bottom"/>
            <w:tcBorders>
              <w:top w:val="single" w:sz="8" w:color="0000EE"/>
            </w:tcBorders>
            <w:gridSpan w:val="2"/>
          </w:tcPr>
          <w:p>
            <w:pPr>
              <w:spacing w:after="0"/>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Form of Indenture.</w:t>
              </w:r>
            </w:hyperlink>
          </w:p>
        </w:tc>
        <w:tc>
          <w:tcPr>
            <w:tcW w:w="1440" w:type="dxa"/>
            <w:vAlign w:val="bottom"/>
          </w:tcPr>
          <w:p>
            <w:pPr>
              <w:spacing w:after="0"/>
              <w:rPr>
                <w:sz w:val="17"/>
                <w:szCs w:val="17"/>
                <w:color w:val="auto"/>
              </w:rPr>
            </w:pPr>
          </w:p>
        </w:tc>
        <w:tc>
          <w:tcPr>
            <w:tcW w:w="1480" w:type="dxa"/>
            <w:vAlign w:val="bottom"/>
          </w:tcPr>
          <w:p>
            <w:pPr>
              <w:jc w:val="center"/>
              <w:ind w:left="512"/>
              <w:spacing w:after="0"/>
              <w:rPr>
                <w:sz w:val="20"/>
                <w:szCs w:val="20"/>
                <w:color w:val="auto"/>
              </w:rPr>
            </w:pPr>
            <w:r>
              <w:rPr>
                <w:rFonts w:ascii="Times New Roman" w:cs="Times New Roman" w:eastAsia="Times New Roman" w:hAnsi="Times New Roman"/>
                <w:sz w:val="14"/>
                <w:szCs w:val="14"/>
                <w:color w:val="auto"/>
                <w:w w:val="98"/>
              </w:rPr>
              <w:t>S-3ASR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333-276942</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4.7</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2/8/24</w:t>
            </w:r>
          </w:p>
        </w:tc>
      </w:tr>
      <w:tr>
        <w:trPr>
          <w:trHeight w:val="20"/>
        </w:trPr>
        <w:tc>
          <w:tcPr>
            <w:tcW w:w="7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9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37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112">
              <w:r>
                <w:rPr>
                  <w:rFonts w:ascii="Times New Roman" w:cs="Times New Roman" w:eastAsia="Times New Roman" w:hAnsi="Times New Roman"/>
                  <w:sz w:val="14"/>
                  <w:szCs w:val="14"/>
                  <w:color w:val="0000EE"/>
                  <w:w w:val="96"/>
                </w:rPr>
                <w:t>Form of Ordinary Share Warrant Agreement and Warrant Certificate.</w:t>
              </w:r>
            </w:hyperlink>
          </w:p>
        </w:tc>
        <w:tc>
          <w:tcPr>
            <w:tcW w:w="1480" w:type="dxa"/>
            <w:vAlign w:val="bottom"/>
          </w:tcPr>
          <w:p>
            <w:pPr>
              <w:jc w:val="center"/>
              <w:ind w:left="512"/>
              <w:spacing w:after="0"/>
              <w:rPr>
                <w:sz w:val="20"/>
                <w:szCs w:val="20"/>
                <w:color w:val="auto"/>
              </w:rPr>
            </w:pPr>
            <w:r>
              <w:rPr>
                <w:rFonts w:ascii="Times New Roman" w:cs="Times New Roman" w:eastAsia="Times New Roman" w:hAnsi="Times New Roman"/>
                <w:sz w:val="14"/>
                <w:szCs w:val="14"/>
                <w:color w:val="auto"/>
                <w:w w:val="98"/>
              </w:rPr>
              <w:t>S-3ASR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333-276942</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4.9</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2/8/24</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4.10</w:t>
            </w:r>
          </w:p>
        </w:tc>
        <w:tc>
          <w:tcPr>
            <w:tcW w:w="37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6"/>
              </w:rPr>
            </w:pPr>
            <w:hyperlink r:id="rId113">
              <w:r>
                <w:rPr>
                  <w:rFonts w:ascii="Times New Roman" w:cs="Times New Roman" w:eastAsia="Times New Roman" w:hAnsi="Times New Roman"/>
                  <w:sz w:val="14"/>
                  <w:szCs w:val="14"/>
                  <w:color w:val="0000EE"/>
                  <w:w w:val="96"/>
                </w:rPr>
                <w:t>Form of Debt Securities Warrant Agreement and Warrant Certificate.</w:t>
              </w:r>
            </w:hyperlink>
          </w:p>
        </w:tc>
        <w:tc>
          <w:tcPr>
            <w:tcW w:w="1480" w:type="dxa"/>
            <w:vAlign w:val="bottom"/>
          </w:tcPr>
          <w:p>
            <w:pPr>
              <w:jc w:val="center"/>
              <w:ind w:left="512"/>
              <w:spacing w:after="0"/>
              <w:rPr>
                <w:sz w:val="20"/>
                <w:szCs w:val="20"/>
                <w:color w:val="auto"/>
              </w:rPr>
            </w:pPr>
            <w:r>
              <w:rPr>
                <w:rFonts w:ascii="Times New Roman" w:cs="Times New Roman" w:eastAsia="Times New Roman" w:hAnsi="Times New Roman"/>
                <w:sz w:val="14"/>
                <w:szCs w:val="14"/>
                <w:color w:val="auto"/>
                <w:w w:val="98"/>
              </w:rPr>
              <w:t>S-3ASR</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333-276942</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4.10</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2/8/24</w:t>
            </w:r>
          </w:p>
        </w:tc>
      </w:tr>
    </w:tbl>
    <w:p>
      <w:pPr>
        <w:spacing w:after="0" w:line="69" w:lineRule="exact"/>
        <w:rPr>
          <w:sz w:val="20"/>
          <w:szCs w:val="20"/>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5.1</w:t>
      </w:r>
      <w:r>
        <w:rPr>
          <w:rFonts w:ascii="Times New Roman" w:cs="Times New Roman" w:eastAsia="Times New Roman" w:hAnsi="Times New Roman"/>
          <w:sz w:val="12"/>
          <w:szCs w:val="12"/>
          <w:u w:val="single" w:color="auto"/>
          <w:color w:val="0000EE"/>
        </w:rPr>
        <w:t>Opinion of Cooley (UK) LLP.</w:t>
      </w:r>
    </w:p>
    <w:p>
      <w:pPr>
        <w:spacing w:after="0" w:line="86" w:lineRule="exact"/>
        <w:rPr>
          <w:rFonts w:ascii="Times New Roman" w:cs="Times New Roman" w:eastAsia="Times New Roman" w:hAnsi="Times New Roman"/>
          <w:sz w:val="12"/>
          <w:szCs w:val="12"/>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5.2</w:t>
      </w:r>
      <w:r>
        <w:rPr>
          <w:rFonts w:ascii="Times New Roman" w:cs="Times New Roman" w:eastAsia="Times New Roman" w:hAnsi="Times New Roman"/>
          <w:sz w:val="12"/>
          <w:szCs w:val="12"/>
          <w:u w:val="single" w:color="auto"/>
          <w:color w:val="0000EE"/>
        </w:rPr>
        <w:t>Opinion of Cooley LLP.</w:t>
      </w:r>
    </w:p>
    <w:p>
      <w:pPr>
        <w:spacing w:after="0" w:line="86" w:lineRule="exact"/>
        <w:rPr>
          <w:rFonts w:ascii="Times New Roman" w:cs="Times New Roman" w:eastAsia="Times New Roman" w:hAnsi="Times New Roman"/>
          <w:sz w:val="12"/>
          <w:szCs w:val="12"/>
          <w:color w:val="auto"/>
        </w:rPr>
      </w:pPr>
    </w:p>
    <w:p>
      <w:pPr>
        <w:ind w:left="2220" w:right="3939" w:hanging="743"/>
        <w:spacing w:after="0" w:line="264" w:lineRule="auto"/>
        <w:tabs>
          <w:tab w:leader="none" w:pos="155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4"/>
          <w:szCs w:val="14"/>
          <w:u w:val="single" w:color="auto"/>
          <w:color w:val="0000EE"/>
        </w:rPr>
        <w:t>Consent of Ernst &amp; Young LLP, independent registered public accounting firm.</w:t>
      </w:r>
    </w:p>
    <w:p>
      <w:pPr>
        <w:spacing w:after="0" w:line="33" w:lineRule="exact"/>
        <w:rPr>
          <w:rFonts w:ascii="Times New Roman" w:cs="Times New Roman" w:eastAsia="Times New Roman" w:hAnsi="Times New Roman"/>
          <w:sz w:val="14"/>
          <w:szCs w:val="14"/>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23.2</w:t>
      </w:r>
      <w:r>
        <w:rPr>
          <w:rFonts w:ascii="Times New Roman" w:cs="Times New Roman" w:eastAsia="Times New Roman" w:hAnsi="Times New Roman"/>
          <w:sz w:val="12"/>
          <w:szCs w:val="12"/>
          <w:u w:val="single" w:color="auto"/>
          <w:color w:val="0000EE"/>
        </w:rPr>
        <w:t>Consent of Cooley (UK) LLP (included in exhibit 5.1).</w:t>
      </w:r>
    </w:p>
    <w:p>
      <w:pPr>
        <w:spacing w:after="0" w:line="86" w:lineRule="exact"/>
        <w:rPr>
          <w:rFonts w:ascii="Times New Roman" w:cs="Times New Roman" w:eastAsia="Times New Roman" w:hAnsi="Times New Roman"/>
          <w:sz w:val="12"/>
          <w:szCs w:val="12"/>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23.3</w:t>
      </w:r>
      <w:r>
        <w:rPr>
          <w:rFonts w:ascii="Times New Roman" w:cs="Times New Roman" w:eastAsia="Times New Roman" w:hAnsi="Times New Roman"/>
          <w:sz w:val="12"/>
          <w:szCs w:val="12"/>
          <w:u w:val="single" w:color="auto"/>
          <w:color w:val="0000EE"/>
        </w:rPr>
        <w:t>Consent of Cooley LLP (included in exhibit 5.2).</w:t>
      </w:r>
    </w:p>
    <w:p>
      <w:pPr>
        <w:spacing w:after="0" w:line="86" w:lineRule="exact"/>
        <w:rPr>
          <w:rFonts w:ascii="Times New Roman" w:cs="Times New Roman" w:eastAsia="Times New Roman" w:hAnsi="Times New Roman"/>
          <w:sz w:val="12"/>
          <w:szCs w:val="12"/>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24.1</w:t>
      </w:r>
      <w:r>
        <w:rPr>
          <w:rFonts w:ascii="Times New Roman" w:cs="Times New Roman" w:eastAsia="Times New Roman" w:hAnsi="Times New Roman"/>
          <w:sz w:val="12"/>
          <w:szCs w:val="12"/>
          <w:u w:val="single" w:color="auto"/>
          <w:color w:val="0000EE"/>
        </w:rPr>
        <w:t>Power of Attorney (included on signature page to registration statement).</w:t>
      </w:r>
    </w:p>
    <w:p>
      <w:pPr>
        <w:spacing w:after="0" w:line="86" w:lineRule="exact"/>
        <w:rPr>
          <w:rFonts w:ascii="Times New Roman" w:cs="Times New Roman" w:eastAsia="Times New Roman" w:hAnsi="Times New Roman"/>
          <w:sz w:val="12"/>
          <w:szCs w:val="12"/>
          <w:color w:val="auto"/>
        </w:rPr>
      </w:pPr>
    </w:p>
    <w:p>
      <w:pPr>
        <w:ind w:left="1540" w:hanging="63"/>
        <w:spacing w:after="0"/>
        <w:tabs>
          <w:tab w:leader="none" w:pos="1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25.1**Statement of Eligibility of Trustee under the Indenture.</w:t>
      </w:r>
    </w:p>
    <w:p>
      <w:pPr>
        <w:spacing w:after="0" w:line="87" w:lineRule="exact"/>
        <w:rPr>
          <w:sz w:val="20"/>
          <w:szCs w:val="20"/>
          <w:color w:val="auto"/>
        </w:rPr>
      </w:pPr>
    </w:p>
    <w:p>
      <w:pPr>
        <w:ind w:left="2220" w:hanging="743"/>
        <w:spacing w:after="0"/>
        <w:tabs>
          <w:tab w:leader="none" w:pos="2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74295</wp:posOffset>
            </wp:positionV>
            <wp:extent cx="57721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25" w:lineRule="exact"/>
        <w:rPr>
          <w:sz w:val="20"/>
          <w:szCs w:val="20"/>
          <w:color w:val="auto"/>
        </w:rPr>
      </w:pPr>
    </w:p>
    <w:p>
      <w:pPr>
        <w:ind w:left="1800" w:right="739" w:hanging="323"/>
        <w:spacing w:after="0" w:line="252" w:lineRule="auto"/>
        <w:tabs>
          <w:tab w:leader="none" w:pos="18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Current Report on Form 8-K or Report on Form 6-K and incorporated herein by reference, if applicable.</w:t>
      </w:r>
    </w:p>
    <w:p>
      <w:pPr>
        <w:spacing w:after="0" w:line="1" w:lineRule="exact"/>
        <w:rPr>
          <w:sz w:val="20"/>
          <w:szCs w:val="20"/>
          <w:color w:val="auto"/>
        </w:rPr>
      </w:pPr>
    </w:p>
    <w:p>
      <w:pPr>
        <w:ind w:left="1800" w:right="639" w:hanging="323"/>
        <w:spacing w:after="0" w:line="247" w:lineRule="auto"/>
        <w:tabs>
          <w:tab w:leader="none" w:pos="18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as amended, and the applicable rules thereunder.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7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8" w:lineRule="exact"/>
        <w:rPr>
          <w:sz w:val="20"/>
          <w:szCs w:val="20"/>
          <w:color w:val="auto"/>
        </w:rPr>
      </w:pPr>
    </w:p>
    <w:p>
      <w:pPr>
        <w:ind w:left="2000" w:hanging="189"/>
        <w:spacing w:after="0"/>
        <w:tabs>
          <w:tab w:leader="none" w:pos="20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4" w:lineRule="exact"/>
        <w:rPr>
          <w:rFonts w:ascii="Times New Roman" w:cs="Times New Roman" w:eastAsia="Times New Roman" w:hAnsi="Times New Roman"/>
          <w:sz w:val="14"/>
          <w:szCs w:val="14"/>
          <w:color w:val="auto"/>
        </w:rPr>
      </w:pPr>
    </w:p>
    <w:p>
      <w:pPr>
        <w:ind w:left="2420" w:hanging="193"/>
        <w:spacing w:after="0"/>
        <w:tabs>
          <w:tab w:leader="none" w:pos="242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4" w:lineRule="exact"/>
        <w:rPr>
          <w:rFonts w:ascii="Times New Roman" w:cs="Times New Roman" w:eastAsia="Times New Roman" w:hAnsi="Times New Roman"/>
          <w:sz w:val="14"/>
          <w:szCs w:val="14"/>
          <w:color w:val="auto"/>
        </w:rPr>
      </w:pPr>
    </w:p>
    <w:p>
      <w:pPr>
        <w:ind w:left="2720" w:hanging="159"/>
        <w:spacing w:after="0"/>
        <w:tabs>
          <w:tab w:leader="none" w:pos="2720"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65" w:lineRule="exact"/>
        <w:rPr>
          <w:rFonts w:ascii="Times New Roman" w:cs="Times New Roman" w:eastAsia="Times New Roman" w:hAnsi="Times New Roman"/>
          <w:sz w:val="14"/>
          <w:szCs w:val="14"/>
          <w:color w:val="auto"/>
        </w:rPr>
      </w:pPr>
    </w:p>
    <w:p>
      <w:pPr>
        <w:ind w:left="1480" w:right="359" w:firstLine="1081"/>
        <w:spacing w:after="0" w:line="297" w:lineRule="auto"/>
        <w:tabs>
          <w:tab w:leader="none" w:pos="2764" w:val="left"/>
        </w:tabs>
        <w:numPr>
          <w:ilvl w:val="2"/>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Filing Fee Table in the effective registration statement; and</w:t>
      </w:r>
    </w:p>
    <w:p>
      <w:pPr>
        <w:spacing w:after="0" w:line="119" w:lineRule="exact"/>
        <w:rPr>
          <w:rFonts w:ascii="Times New Roman" w:cs="Times New Roman" w:eastAsia="Times New Roman" w:hAnsi="Times New Roman"/>
          <w:sz w:val="12"/>
          <w:szCs w:val="12"/>
          <w:color w:val="auto"/>
        </w:rPr>
      </w:pPr>
    </w:p>
    <w:p>
      <w:pPr>
        <w:ind w:left="1480" w:right="379" w:firstLine="1081"/>
        <w:spacing w:after="0" w:line="264" w:lineRule="auto"/>
        <w:tabs>
          <w:tab w:leader="none" w:pos="2801" w:val="left"/>
        </w:tabs>
        <w:numPr>
          <w:ilvl w:val="2"/>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4" w:lineRule="exact"/>
        <w:rPr>
          <w:sz w:val="20"/>
          <w:szCs w:val="20"/>
          <w:color w:val="auto"/>
        </w:rPr>
      </w:pPr>
    </w:p>
    <w:p>
      <w:pPr>
        <w:ind w:left="1480" w:right="559" w:firstLine="333"/>
        <w:spacing w:after="0" w:line="251"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46" w:lineRule="exact"/>
        <w:rPr>
          <w:sz w:val="20"/>
          <w:szCs w:val="20"/>
          <w:color w:val="auto"/>
        </w:rPr>
      </w:pPr>
    </w:p>
    <w:p>
      <w:pPr>
        <w:ind w:left="1480" w:right="439" w:firstLine="747"/>
        <w:spacing w:after="0" w:line="254" w:lineRule="auto"/>
        <w:tabs>
          <w:tab w:leader="none" w:pos="242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Times New Roman" w:cs="Times New Roman" w:eastAsia="Times New Roman" w:hAnsi="Times New Roman"/>
          <w:sz w:val="14"/>
          <w:szCs w:val="14"/>
          <w:color w:val="auto"/>
        </w:rPr>
      </w:pPr>
    </w:p>
    <w:p>
      <w:pPr>
        <w:ind w:left="1480" w:right="419" w:firstLine="747"/>
        <w:spacing w:after="0" w:line="264" w:lineRule="auto"/>
        <w:tabs>
          <w:tab w:leader="none" w:pos="242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6" w:lineRule="exact"/>
        <w:rPr>
          <w:rFonts w:ascii="Times New Roman" w:cs="Times New Roman" w:eastAsia="Times New Roman" w:hAnsi="Times New Roman"/>
          <w:sz w:val="14"/>
          <w:szCs w:val="14"/>
          <w:color w:val="auto"/>
        </w:rPr>
      </w:pPr>
    </w:p>
    <w:p>
      <w:pPr>
        <w:ind w:left="1480" w:right="379" w:firstLine="747"/>
        <w:spacing w:after="0" w:line="293" w:lineRule="auto"/>
        <w:tabs>
          <w:tab w:leader="none" w:pos="2423"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22" w:lineRule="exact"/>
        <w:rPr>
          <w:rFonts w:ascii="Times New Roman" w:cs="Times New Roman" w:eastAsia="Times New Roman" w:hAnsi="Times New Roman"/>
          <w:sz w:val="12"/>
          <w:szCs w:val="12"/>
          <w:color w:val="auto"/>
        </w:rPr>
      </w:pPr>
    </w:p>
    <w:p>
      <w:pPr>
        <w:ind w:left="2420" w:hanging="193"/>
        <w:spacing w:after="0"/>
        <w:tabs>
          <w:tab w:leader="none" w:pos="24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84" w:lineRule="exact"/>
        <w:rPr>
          <w:rFonts w:ascii="Times New Roman" w:cs="Times New Roman" w:eastAsia="Times New Roman" w:hAnsi="Times New Roman"/>
          <w:sz w:val="14"/>
          <w:szCs w:val="14"/>
          <w:color w:val="auto"/>
        </w:rPr>
      </w:pPr>
    </w:p>
    <w:p>
      <w:pPr>
        <w:ind w:left="1480" w:right="539" w:firstLine="1081"/>
        <w:spacing w:after="0" w:line="264" w:lineRule="auto"/>
        <w:tabs>
          <w:tab w:leader="none" w:pos="2726"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379" w:firstLine="1081"/>
        <w:spacing w:after="0" w:line="245" w:lineRule="auto"/>
        <w:tabs>
          <w:tab w:leader="none" w:pos="2764"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3" w:lineRule="exact"/>
        <w:rPr>
          <w:rFonts w:ascii="Times New Roman" w:cs="Times New Roman" w:eastAsia="Times New Roman" w:hAnsi="Times New Roman"/>
          <w:sz w:val="14"/>
          <w:szCs w:val="14"/>
          <w:color w:val="auto"/>
        </w:rPr>
      </w:pPr>
    </w:p>
    <w:p>
      <w:pPr>
        <w:ind w:left="1480" w:right="459" w:firstLine="747"/>
        <w:spacing w:after="0" w:line="248" w:lineRule="auto"/>
        <w:tabs>
          <w:tab w:leader="none" w:pos="24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6" w:lineRule="exact"/>
        <w:rPr>
          <w:rFonts w:ascii="Times New Roman" w:cs="Times New Roman" w:eastAsia="Times New Roman" w:hAnsi="Times New Roman"/>
          <w:sz w:val="14"/>
          <w:szCs w:val="14"/>
          <w:color w:val="auto"/>
        </w:rPr>
      </w:pPr>
    </w:p>
    <w:p>
      <w:pPr>
        <w:ind w:left="2720" w:hanging="159"/>
        <w:spacing w:after="0"/>
        <w:tabs>
          <w:tab w:leader="none" w:pos="272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w:t>
      </w:r>
    </w:p>
    <w:p>
      <w:pPr>
        <w:spacing w:after="0" w:line="14" w:lineRule="exact"/>
        <w:rPr>
          <w:rFonts w:ascii="Times New Roman" w:cs="Times New Roman" w:eastAsia="Times New Roman" w:hAnsi="Times New Roman"/>
          <w:sz w:val="14"/>
          <w:szCs w:val="14"/>
          <w:color w:val="auto"/>
        </w:rPr>
      </w:pPr>
    </w:p>
    <w:p>
      <w:pPr>
        <w:ind w:left="1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424;</w:t>
      </w:r>
    </w:p>
    <w:p>
      <w:pPr>
        <w:spacing w:after="0" w:line="153" w:lineRule="exact"/>
        <w:rPr>
          <w:rFonts w:ascii="Times New Roman" w:cs="Times New Roman" w:eastAsia="Times New Roman" w:hAnsi="Times New Roman"/>
          <w:sz w:val="14"/>
          <w:szCs w:val="14"/>
          <w:color w:val="auto"/>
        </w:rPr>
      </w:pPr>
    </w:p>
    <w:p>
      <w:pPr>
        <w:ind w:left="1480" w:right="459" w:firstLine="1081"/>
        <w:spacing w:after="0" w:line="264" w:lineRule="auto"/>
        <w:tabs>
          <w:tab w:leader="none" w:pos="2764"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36" w:lineRule="exact"/>
        <w:rPr>
          <w:rFonts w:ascii="Times New Roman" w:cs="Times New Roman" w:eastAsia="Times New Roman" w:hAnsi="Times New Roman"/>
          <w:sz w:val="14"/>
          <w:szCs w:val="14"/>
          <w:color w:val="auto"/>
        </w:rPr>
      </w:pPr>
    </w:p>
    <w:p>
      <w:pPr>
        <w:ind w:left="1480" w:right="479" w:firstLine="1081"/>
        <w:spacing w:after="0" w:line="264" w:lineRule="auto"/>
        <w:tabs>
          <w:tab w:leader="none" w:pos="2801"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6" w:lineRule="exact"/>
        <w:rPr>
          <w:rFonts w:ascii="Times New Roman" w:cs="Times New Roman" w:eastAsia="Times New Roman" w:hAnsi="Times New Roman"/>
          <w:sz w:val="14"/>
          <w:szCs w:val="14"/>
          <w:color w:val="auto"/>
        </w:rPr>
      </w:pPr>
    </w:p>
    <w:p>
      <w:pPr>
        <w:ind w:left="2800" w:hanging="239"/>
        <w:spacing w:after="0"/>
        <w:tabs>
          <w:tab w:leader="none" w:pos="280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5" w:lineRule="exact"/>
        <w:rPr>
          <w:rFonts w:ascii="Times New Roman" w:cs="Times New Roman" w:eastAsia="Times New Roman" w:hAnsi="Times New Roman"/>
          <w:sz w:val="14"/>
          <w:szCs w:val="14"/>
          <w:color w:val="auto"/>
        </w:rPr>
      </w:pPr>
    </w:p>
    <w:p>
      <w:pPr>
        <w:ind w:left="1480" w:right="439" w:firstLine="747"/>
        <w:spacing w:after="0" w:line="248" w:lineRule="auto"/>
        <w:tabs>
          <w:tab w:leader="none" w:pos="24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Times New Roman" w:cs="Times New Roman" w:eastAsia="Times New Roman" w:hAnsi="Times New Roman"/>
          <w:sz w:val="14"/>
          <w:szCs w:val="14"/>
          <w:color w:val="auto"/>
        </w:rPr>
      </w:pPr>
    </w:p>
    <w:p>
      <w:pPr>
        <w:ind w:left="1480" w:right="379" w:firstLine="747"/>
        <w:spacing w:after="0" w:line="246" w:lineRule="auto"/>
        <w:tabs>
          <w:tab w:leader="none" w:pos="242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41" w:lineRule="exact"/>
        <w:rPr>
          <w:sz w:val="20"/>
          <w:szCs w:val="20"/>
          <w:color w:val="auto"/>
        </w:rPr>
      </w:pPr>
    </w:p>
    <w:p>
      <w:pPr>
        <w:ind w:left="1480" w:right="419" w:firstLine="747"/>
        <w:spacing w:after="0" w:line="264" w:lineRule="auto"/>
        <w:tabs>
          <w:tab w:leader="none" w:pos="2423"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36" w:lineRule="exact"/>
        <w:rPr>
          <w:rFonts w:ascii="Times New Roman" w:cs="Times New Roman" w:eastAsia="Times New Roman" w:hAnsi="Times New Roman"/>
          <w:sz w:val="14"/>
          <w:szCs w:val="14"/>
          <w:color w:val="auto"/>
        </w:rPr>
      </w:pPr>
    </w:p>
    <w:p>
      <w:pPr>
        <w:ind w:left="1480" w:right="459" w:firstLine="747"/>
        <w:spacing w:after="0" w:line="291" w:lineRule="auto"/>
        <w:tabs>
          <w:tab w:leader="none" w:pos="2491"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any liability under the Securities Act of 1933, (i)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and</w:t>
      </w:r>
    </w:p>
    <w:p>
      <w:pPr>
        <w:ind w:left="1480" w:right="359" w:hanging="3"/>
        <w:spacing w:after="0" w:line="247" w:lineRule="auto"/>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jc w:val="both"/>
        <w:ind w:left="1480" w:right="659" w:firstLine="333"/>
        <w:spacing w:after="0" w:line="25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London, United Kingdom, on April 10, 2026.</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AUTOLUS THERAPEUTICS PLC</w:t>
      </w:r>
    </w:p>
    <w:p>
      <w:pPr>
        <w:spacing w:after="0" w:line="17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Christian Itin</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Name: Christian Itin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-100965</wp:posOffset>
            </wp:positionV>
            <wp:extent cx="19646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964690" cy="635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70" w:lineRule="exact"/>
        <w:rPr>
          <w:sz w:val="20"/>
          <w:szCs w:val="20"/>
          <w:color w:val="auto"/>
        </w:rPr>
      </w:pPr>
    </w:p>
    <w:p>
      <w:pPr>
        <w:ind w:left="1480" w:right="359" w:firstLine="333"/>
        <w:spacing w:after="0" w:line="293" w:lineRule="auto"/>
        <w:rPr>
          <w:sz w:val="20"/>
          <w:szCs w:val="20"/>
          <w:color w:val="auto"/>
        </w:rPr>
      </w:pPr>
      <w:r>
        <w:rPr>
          <w:rFonts w:ascii="Times New Roman" w:cs="Times New Roman" w:eastAsia="Times New Roman" w:hAnsi="Times New Roman"/>
          <w:sz w:val="12"/>
          <w:szCs w:val="12"/>
          <w:color w:val="auto"/>
        </w:rPr>
        <w:t>We, the undersigned officers and directors of Autolus Therapeutics plc, hereby severally constitute and appoint Christian Itin and Alex Driggs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Autolus Therapeutics plc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23" w:lineRule="exact"/>
        <w:rPr>
          <w:sz w:val="20"/>
          <w:szCs w:val="20"/>
          <w:color w:val="auto"/>
        </w:rPr>
      </w:pPr>
    </w:p>
    <w:p>
      <w:pPr>
        <w:ind w:left="1480" w:right="519" w:firstLine="333"/>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50" w:lineRule="exact"/>
        <w:rPr>
          <w:sz w:val="20"/>
          <w:szCs w:val="20"/>
          <w:color w:val="auto"/>
        </w:rPr>
      </w:pPr>
    </w:p>
    <w:tbl>
      <w:tblPr>
        <w:tblLayout w:type="fixed"/>
        <w:tblInd w:w="1480" w:type="dxa"/>
        <w:tblCellMar>
          <w:top w:w="0" w:type="dxa"/>
          <w:left w:w="0" w:type="dxa"/>
          <w:bottom w:w="0" w:type="dxa"/>
          <w:right w:w="0" w:type="dxa"/>
        </w:tblCellMar>
      </w:tblPr>
      <w:tr>
        <w:trPr>
          <w:trHeight w:val="143"/>
        </w:trPr>
        <w:tc>
          <w:tcPr>
            <w:tcW w:w="292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30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jc w:val="center"/>
              <w:ind w:left="454"/>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1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Christian Itin, Ph.D.</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Chief Executive Officer and Director </w:t>
            </w:r>
            <w:r>
              <w:rPr>
                <w:rFonts w:ascii="Times New Roman" w:cs="Times New Roman" w:eastAsia="Times New Roman" w:hAnsi="Times New Roman"/>
                <w:sz w:val="14"/>
                <w:szCs w:val="14"/>
                <w:i w:val="1"/>
                <w:iCs w:val="1"/>
                <w:color w:val="auto"/>
              </w:rPr>
              <w:t>(Principal</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Christian Itin, Ph.D.</w:t>
            </w:r>
          </w:p>
        </w:tc>
        <w:tc>
          <w:tcPr>
            <w:tcW w:w="330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i w:val="1"/>
                <w:iCs w:val="1"/>
                <w:color w:val="auto"/>
              </w:rPr>
              <w:t>Executive Officer)</w:t>
            </w:r>
          </w:p>
        </w:tc>
        <w:tc>
          <w:tcPr>
            <w:tcW w:w="1300" w:type="dxa"/>
            <w:vAlign w:val="bottom"/>
          </w:tcPr>
          <w:p>
            <w:pPr>
              <w:spacing w:after="0"/>
              <w:rPr>
                <w:sz w:val="14"/>
                <w:szCs w:val="14"/>
                <w:color w:val="auto"/>
              </w:rPr>
            </w:pPr>
          </w:p>
        </w:tc>
      </w:tr>
      <w:tr>
        <w:trPr>
          <w:trHeight w:val="32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Dolski</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Chief Financial Officer </w:t>
            </w:r>
            <w:r>
              <w:rPr>
                <w:rFonts w:ascii="Times New Roman" w:cs="Times New Roman" w:eastAsia="Times New Roman" w:hAnsi="Times New Roman"/>
                <w:sz w:val="14"/>
                <w:szCs w:val="14"/>
                <w:i w:val="1"/>
                <w:iCs w:val="1"/>
                <w:color w:val="auto"/>
              </w:rPr>
              <w:t>(Principal Financial</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Robert Dolski</w:t>
            </w:r>
          </w:p>
        </w:tc>
        <w:tc>
          <w:tcPr>
            <w:tcW w:w="330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i w:val="1"/>
                <w:iCs w:val="1"/>
                <w:color w:val="auto"/>
              </w:rPr>
              <w:t>Officer)</w:t>
            </w:r>
          </w:p>
        </w:tc>
        <w:tc>
          <w:tcPr>
            <w:tcW w:w="1300" w:type="dxa"/>
            <w:vAlign w:val="bottom"/>
          </w:tcPr>
          <w:p>
            <w:pPr>
              <w:spacing w:after="0"/>
              <w:rPr>
                <w:sz w:val="14"/>
                <w:szCs w:val="14"/>
                <w:color w:val="auto"/>
              </w:rPr>
            </w:pPr>
          </w:p>
        </w:tc>
      </w:tr>
      <w:tr>
        <w:trPr>
          <w:trHeight w:val="32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Patrick McIlvenny</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Vice President, Finance and Chief</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30"/>
        </w:trPr>
        <w:tc>
          <w:tcPr>
            <w:tcW w:w="2920" w:type="dxa"/>
            <w:vAlign w:val="bottom"/>
          </w:tcPr>
          <w:p>
            <w:pPr>
              <w:spacing w:after="0" w:line="130" w:lineRule="exact"/>
              <w:rPr>
                <w:sz w:val="20"/>
                <w:szCs w:val="20"/>
                <w:color w:val="auto"/>
              </w:rPr>
            </w:pPr>
            <w:r>
              <w:rPr>
                <w:rFonts w:ascii="Times New Roman" w:cs="Times New Roman" w:eastAsia="Times New Roman" w:hAnsi="Times New Roman"/>
                <w:sz w:val="14"/>
                <w:szCs w:val="14"/>
                <w:color w:val="auto"/>
              </w:rPr>
              <w:t>Patrick McIlvenny</w:t>
            </w:r>
          </w:p>
        </w:tc>
        <w:tc>
          <w:tcPr>
            <w:tcW w:w="3300" w:type="dxa"/>
            <w:vAlign w:val="bottom"/>
          </w:tcPr>
          <w:p>
            <w:pPr>
              <w:ind w:left="180"/>
              <w:spacing w:after="0" w:line="130" w:lineRule="exact"/>
              <w:rPr>
                <w:sz w:val="20"/>
                <w:szCs w:val="20"/>
                <w:color w:val="auto"/>
              </w:rPr>
            </w:pPr>
            <w:r>
              <w:rPr>
                <w:rFonts w:ascii="Times New Roman" w:cs="Times New Roman" w:eastAsia="Times New Roman" w:hAnsi="Times New Roman"/>
                <w:sz w:val="14"/>
                <w:szCs w:val="14"/>
                <w:color w:val="auto"/>
              </w:rPr>
              <w:t xml:space="preserve">Accounting Officer </w:t>
            </w:r>
            <w:r>
              <w:rPr>
                <w:rFonts w:ascii="Times New Roman" w:cs="Times New Roman" w:eastAsia="Times New Roman" w:hAnsi="Times New Roman"/>
                <w:sz w:val="14"/>
                <w:szCs w:val="14"/>
                <w:i w:val="1"/>
                <w:iCs w:val="1"/>
                <w:color w:val="auto"/>
              </w:rPr>
              <w:t>(Principal Accounting</w:t>
            </w:r>
          </w:p>
        </w:tc>
        <w:tc>
          <w:tcPr>
            <w:tcW w:w="1300" w:type="dxa"/>
            <w:vAlign w:val="bottom"/>
          </w:tcPr>
          <w:p>
            <w:pPr>
              <w:spacing w:after="0"/>
              <w:rPr>
                <w:sz w:val="11"/>
                <w:szCs w:val="11"/>
                <w:color w:val="auto"/>
              </w:rPr>
            </w:pPr>
          </w:p>
        </w:tc>
      </w:tr>
      <w:tr>
        <w:trPr>
          <w:trHeight w:val="177"/>
        </w:trPr>
        <w:tc>
          <w:tcPr>
            <w:tcW w:w="2920" w:type="dxa"/>
            <w:vAlign w:val="bottom"/>
          </w:tcPr>
          <w:p>
            <w:pPr>
              <w:spacing w:after="0"/>
              <w:rPr>
                <w:sz w:val="15"/>
                <w:szCs w:val="15"/>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1300" w:type="dxa"/>
            <w:vAlign w:val="bottom"/>
          </w:tcPr>
          <w:p>
            <w:pPr>
              <w:spacing w:after="0"/>
              <w:rPr>
                <w:sz w:val="15"/>
                <w:szCs w:val="15"/>
                <w:color w:val="auto"/>
              </w:rPr>
            </w:pPr>
          </w:p>
        </w:tc>
      </w:tr>
      <w:tr>
        <w:trPr>
          <w:trHeight w:val="32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Bonney</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Michael Bonney</w:t>
            </w:r>
          </w:p>
        </w:tc>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Ryan Richardson</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Ryan Richardson</w:t>
            </w:r>
          </w:p>
        </w:tc>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Azelby</w:t>
            </w:r>
          </w:p>
        </w:tc>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43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Robert Azelby</w:t>
            </w:r>
          </w:p>
        </w:tc>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73"/>
        </w:trPr>
        <w:tc>
          <w:tcPr>
            <w:tcW w:w="2920" w:type="dxa"/>
            <w:vAlign w:val="bottom"/>
          </w:tcPr>
          <w:p>
            <w:pPr>
              <w:spacing w:after="0"/>
              <w:rPr>
                <w:sz w:val="23"/>
                <w:szCs w:val="23"/>
                <w:color w:val="auto"/>
              </w:rPr>
            </w:pPr>
          </w:p>
        </w:tc>
        <w:tc>
          <w:tcPr>
            <w:tcW w:w="33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II-6</w:t>
            </w:r>
          </w:p>
        </w:tc>
        <w:tc>
          <w:tcPr>
            <w:tcW w:w="1300" w:type="dxa"/>
            <w:vAlign w:val="bottom"/>
          </w:tcPr>
          <w:p>
            <w:pPr>
              <w:spacing w:after="0"/>
              <w:rPr>
                <w:sz w:val="23"/>
                <w:szCs w:val="23"/>
                <w:color w:val="auto"/>
              </w:rPr>
            </w:pPr>
          </w:p>
        </w:tc>
      </w:tr>
    </w:tbl>
    <w:p>
      <w:pPr>
        <w:sectPr>
          <w:pgSz w:w="11900" w:h="16838" w:orient="portrait"/>
          <w:cols w:equalWidth="0" w:num="1">
            <w:col w:w="10159"/>
          </w:cols>
          <w:pgMar w:left="300" w:top="37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143"/>
        </w:trPr>
        <w:tc>
          <w:tcPr>
            <w:tcW w:w="292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74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60" w:type="dxa"/>
            <w:vAlign w:val="bottom"/>
          </w:tcPr>
          <w:p>
            <w:pPr>
              <w:jc w:val="center"/>
              <w:ind w:left="1014"/>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1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Linda Bain</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Linda Bain</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Berriman</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John Berriman</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Cynthia Butitta</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Cynthia Butitta</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Iannone, M.D., M.S.C.E</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Robert Iannone, M.D., M.S.C.E</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Elisabeth Leiderman, M.D.</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Elisabeth Leiderman, M.D.</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Ravi Rao, M.D.</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Ravi Rao</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2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William D. Young</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ind w:left="994"/>
              <w:spacing w:after="0"/>
              <w:rPr>
                <w:sz w:val="20"/>
                <w:szCs w:val="20"/>
                <w:color w:val="auto"/>
              </w:rPr>
            </w:pPr>
            <w:r>
              <w:rPr>
                <w:rFonts w:ascii="Times New Roman" w:cs="Times New Roman" w:eastAsia="Times New Roman" w:hAnsi="Times New Roman"/>
                <w:sz w:val="14"/>
                <w:szCs w:val="14"/>
                <w:color w:val="auto"/>
                <w:w w:val="97"/>
              </w:rPr>
              <w:t>April 10, 2026</w:t>
            </w:r>
          </w:p>
        </w:tc>
      </w:tr>
      <w:tr>
        <w:trPr>
          <w:trHeight w:val="16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William D. Young</w:t>
            </w: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30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w:t>
      </w:r>
    </w:p>
    <w:p>
      <w:pPr>
        <w:spacing w:after="0" w:line="170" w:lineRule="exact"/>
        <w:rPr>
          <w:sz w:val="20"/>
          <w:szCs w:val="20"/>
          <w:color w:val="auto"/>
        </w:rPr>
      </w:pPr>
    </w:p>
    <w:p>
      <w:pPr>
        <w:ind w:left="1480" w:right="499"/>
        <w:spacing w:after="0" w:line="264" w:lineRule="auto"/>
        <w:rPr>
          <w:sz w:val="20"/>
          <w:szCs w:val="20"/>
          <w:color w:val="auto"/>
        </w:rPr>
      </w:pPr>
      <w:r>
        <w:rPr>
          <w:rFonts w:ascii="Times New Roman" w:cs="Times New Roman" w:eastAsia="Times New Roman" w:hAnsi="Times New Roman"/>
          <w:sz w:val="14"/>
          <w:szCs w:val="14"/>
          <w:color w:val="auto"/>
        </w:rPr>
        <w:t>Pursuant to the Securities Act of 1933, the undersigned, the duly authorized representative in the United States of Autolus Therapeutics plc has signed this registration statement or amendment thereto on April 10, 2026.</w:t>
      </w:r>
    </w:p>
    <w:p>
      <w:pPr>
        <w:spacing w:after="0" w:line="152" w:lineRule="exact"/>
        <w:rPr>
          <w:sz w:val="20"/>
          <w:szCs w:val="20"/>
          <w:color w:val="auto"/>
        </w:rPr>
      </w:pPr>
    </w:p>
    <w:tbl>
      <w:tblPr>
        <w:tblLayout w:type="fixed"/>
        <w:tblInd w:w="6480" w:type="dxa"/>
        <w:tblCellMar>
          <w:top w:w="0" w:type="dxa"/>
          <w:left w:w="0" w:type="dxa"/>
          <w:bottom w:w="0" w:type="dxa"/>
          <w:right w:w="0" w:type="dxa"/>
        </w:tblCellMar>
      </w:tblPr>
      <w:tr>
        <w:trPr>
          <w:trHeight w:val="179"/>
        </w:trPr>
        <w:tc>
          <w:tcPr>
            <w:tcW w:w="400" w:type="dxa"/>
            <w:vAlign w:val="bottom"/>
          </w:tcPr>
          <w:p>
            <w:pPr>
              <w:spacing w:after="0"/>
              <w:rPr>
                <w:sz w:val="15"/>
                <w:szCs w:val="15"/>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AUTOLUS INC.</w:t>
            </w:r>
          </w:p>
        </w:tc>
      </w:tr>
      <w:tr>
        <w:trPr>
          <w:trHeight w:val="327"/>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Robert Dolski</w:t>
            </w:r>
          </w:p>
        </w:tc>
      </w:tr>
      <w:tr>
        <w:trPr>
          <w:trHeight w:val="142"/>
        </w:trPr>
        <w:tc>
          <w:tcPr>
            <w:tcW w:w="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Name:</w:t>
            </w:r>
          </w:p>
        </w:tc>
        <w:tc>
          <w:tcPr>
            <w:tcW w:w="29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Robert Dolski</w:t>
            </w:r>
          </w:p>
        </w:tc>
      </w:tr>
      <w:tr>
        <w:trPr>
          <w:trHeight w:val="17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78" w:right="1440" w:bottom="1440" w:gutter="0" w:footer="0" w:header="0"/>
        </w:sectPr>
      </w:pPr>
    </w:p>
    <w:bookmarkStart w:id="68" w:name="page69"/>
    <w:bookmarkEnd w:id="68"/>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128905</wp:posOffset>
            </wp:positionV>
            <wp:extent cx="888365" cy="292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888365"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Claire Keast-Butler</w:t>
      </w:r>
    </w:p>
    <w:p>
      <w:pPr>
        <w:spacing w:after="0" w:line="14"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+44 (0) 20 7556 4211</w:t>
      </w:r>
    </w:p>
    <w:p>
      <w:pPr>
        <w:spacing w:after="0" w:line="2"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ckeastbutler@cooley.com</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Autolus Therapeutics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Mediaworks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191 Wood Lane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London W12 7FP</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United Kingdom</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10 April 2026</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2"/>
          <w:szCs w:val="12"/>
          <w:b w:val="1"/>
          <w:bCs w:val="1"/>
          <w:color w:val="auto"/>
        </w:rPr>
        <w:t>Autolus Therapeutics plc — Form S-3 Registration Statement — Exhibit 5.1</w:t>
      </w:r>
    </w:p>
    <w:p>
      <w:pPr>
        <w:spacing w:after="0" w:line="186" w:lineRule="exact"/>
        <w:rPr>
          <w:sz w:val="20"/>
          <w:szCs w:val="20"/>
          <w:color w:val="auto"/>
        </w:rPr>
      </w:pPr>
    </w:p>
    <w:p>
      <w:pPr>
        <w:ind w:left="660" w:hanging="323"/>
        <w:spacing w:after="0"/>
        <w:tabs>
          <w:tab w:leader="none" w:pos="66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INTRODUCTION</w:t>
      </w:r>
    </w:p>
    <w:p>
      <w:pPr>
        <w:spacing w:after="0" w:line="190" w:lineRule="exact"/>
        <w:rPr>
          <w:sz w:val="20"/>
          <w:szCs w:val="20"/>
          <w:color w:val="auto"/>
        </w:rPr>
      </w:pPr>
    </w:p>
    <w:p>
      <w:pPr>
        <w:ind w:left="660" w:right="419" w:hanging="326"/>
        <w:spacing w:after="0" w:line="247" w:lineRule="auto"/>
        <w:tabs>
          <w:tab w:leader="none" w:pos="640" w:val="left"/>
        </w:tabs>
        <w:rPr>
          <w:sz w:val="20"/>
          <w:szCs w:val="20"/>
          <w:color w:val="auto"/>
        </w:rPr>
      </w:pPr>
      <w:r>
        <w:rPr>
          <w:rFonts w:ascii="Times New Roman" w:cs="Times New Roman" w:eastAsia="Times New Roman" w:hAnsi="Times New Roman"/>
          <w:sz w:val="14"/>
          <w:szCs w:val="14"/>
          <w:color w:val="auto"/>
        </w:rPr>
        <w:t>1.1</w:t>
        <w:tab/>
        <w:t>We have acted as English legal advisers to Autolus Therapeutics plc, a public limited company incorporated in England and Wales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preparation and filing by the Company on the date hereof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of a registration statement on Form S-3 to which this letter is attached as an exhibit (such registration statement, as amended, including the documents incorporated by reference therein,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pursuant to the U.S.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the rules and regulations promulgated thereunder. We are rendering this letter at the request of the Company in connection with the Registration Statement. We have taken instructions solely from the Company.</w:t>
      </w:r>
    </w:p>
    <w:p>
      <w:pPr>
        <w:spacing w:after="0" w:line="166" w:lineRule="exact"/>
        <w:rPr>
          <w:sz w:val="20"/>
          <w:szCs w:val="20"/>
          <w:color w:val="auto"/>
        </w:rPr>
      </w:pPr>
    </w:p>
    <w:p>
      <w:pPr>
        <w:ind w:left="660" w:right="499" w:hanging="326"/>
        <w:spacing w:after="0" w:line="270" w:lineRule="auto"/>
        <w:tabs>
          <w:tab w:leader="none" w:pos="640" w:val="left"/>
        </w:tabs>
        <w:rPr>
          <w:sz w:val="20"/>
          <w:szCs w:val="20"/>
          <w:color w:val="auto"/>
        </w:rPr>
      </w:pPr>
      <w:r>
        <w:rPr>
          <w:rFonts w:ascii="Times New Roman" w:cs="Times New Roman" w:eastAsia="Times New Roman" w:hAnsi="Times New Roman"/>
          <w:sz w:val="14"/>
          <w:szCs w:val="14"/>
          <w:color w:val="auto"/>
        </w:rPr>
        <w:t>1.2</w:t>
        <w:tab/>
        <w:t>The Registration Statement includes a base prospectus (the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 which provides that it will be supplemented in the future by one or more prospectus supplements (each such prospectus supplement, together with the Base Prospectus, a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660" w:right="439" w:hanging="326"/>
        <w:spacing w:after="0" w:line="291" w:lineRule="auto"/>
        <w:tabs>
          <w:tab w:leader="none" w:pos="64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2"/>
          <w:szCs w:val="12"/>
          <w:color w:val="auto"/>
        </w:rPr>
        <w:t>The Registration Statement relates to the registration for issue and sale by the Company of (a) ordinary shares with a nominal value of $0.000042 each in the capital of the Company (“</w:t>
      </w:r>
      <w:r>
        <w:rPr>
          <w:rFonts w:ascii="Times New Roman" w:cs="Times New Roman" w:eastAsia="Times New Roman" w:hAnsi="Times New Roman"/>
          <w:sz w:val="12"/>
          <w:szCs w:val="12"/>
          <w:b w:val="1"/>
          <w:bCs w:val="1"/>
          <w:color w:val="auto"/>
        </w:rPr>
        <w:t>Ordinary Shares</w:t>
      </w:r>
      <w:r>
        <w:rPr>
          <w:rFonts w:ascii="Times New Roman" w:cs="Times New Roman" w:eastAsia="Times New Roman" w:hAnsi="Times New Roman"/>
          <w:sz w:val="12"/>
          <w:szCs w:val="12"/>
          <w:color w:val="auto"/>
        </w:rPr>
        <w:t>”), (b) American Depositary Shares representing Ordinary Shares (“</w:t>
      </w:r>
      <w:r>
        <w:rPr>
          <w:rFonts w:ascii="Times New Roman" w:cs="Times New Roman" w:eastAsia="Times New Roman" w:hAnsi="Times New Roman"/>
          <w:sz w:val="12"/>
          <w:szCs w:val="12"/>
          <w:b w:val="1"/>
          <w:bCs w:val="1"/>
          <w:color w:val="auto"/>
        </w:rPr>
        <w:t>ADSs</w:t>
      </w:r>
      <w:r>
        <w:rPr>
          <w:rFonts w:ascii="Times New Roman" w:cs="Times New Roman" w:eastAsia="Times New Roman" w:hAnsi="Times New Roman"/>
          <w:sz w:val="12"/>
          <w:szCs w:val="12"/>
          <w:color w:val="auto"/>
        </w:rPr>
        <w:t>”), (c) debt securities in one or more series, as either senior or subordinated debt or as senior or subordinated convertible debt (“</w:t>
      </w:r>
      <w:r>
        <w:rPr>
          <w:rFonts w:ascii="Times New Roman" w:cs="Times New Roman" w:eastAsia="Times New Roman" w:hAnsi="Times New Roman"/>
          <w:sz w:val="12"/>
          <w:szCs w:val="12"/>
          <w:b w:val="1"/>
          <w:bCs w:val="1"/>
          <w:color w:val="auto"/>
        </w:rPr>
        <w:t>Debt Securities</w:t>
      </w:r>
      <w:r>
        <w:rPr>
          <w:rFonts w:ascii="Times New Roman" w:cs="Times New Roman" w:eastAsia="Times New Roman" w:hAnsi="Times New Roman"/>
          <w:sz w:val="12"/>
          <w:szCs w:val="12"/>
          <w:color w:val="auto"/>
        </w:rPr>
        <w:t>”) and</w:t>
      </w:r>
    </w:p>
    <w:p>
      <w:pPr>
        <w:ind w:left="660" w:right="379" w:firstLine="4"/>
        <w:spacing w:after="0" w:line="244" w:lineRule="auto"/>
        <w:tabs>
          <w:tab w:leader="none" w:pos="85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for the purchase of Ordinary Shares, Ordinary Shares represented by ADSs and/or Debt Securities in one or more series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and, together with the Ordinary Shares, ADSs and Debt Securities,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in each case to the public in a registered offering or offerings. The aggregate initial offering price of the securities that the Company may offer and sell under the Registration Statement will not exceed $150,000,000.</w:t>
      </w:r>
    </w:p>
    <w:p>
      <w:pPr>
        <w:spacing w:after="0" w:line="171" w:lineRule="exact"/>
        <w:rPr>
          <w:sz w:val="20"/>
          <w:szCs w:val="20"/>
          <w:color w:val="auto"/>
        </w:rPr>
      </w:pPr>
    </w:p>
    <w:p>
      <w:pPr>
        <w:ind w:left="660" w:right="61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1.4</w:t>
        <w:tab/>
        <w:t>Except as otherwise defined in this letter, capitalised terms used have the respective meanings given to them in the Registration Statement and headings are for ease of reference only and shall not affect interpretation.</w:t>
      </w:r>
    </w:p>
    <w:p>
      <w:pPr>
        <w:spacing w:after="0" w:line="156" w:lineRule="exact"/>
        <w:rPr>
          <w:sz w:val="20"/>
          <w:szCs w:val="20"/>
          <w:color w:val="auto"/>
        </w:rPr>
      </w:pPr>
    </w:p>
    <w:p>
      <w:pPr>
        <w:ind w:left="660" w:right="559" w:hanging="326"/>
        <w:spacing w:after="0" w:line="349" w:lineRule="auto"/>
        <w:tabs>
          <w:tab w:leader="none" w:pos="64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2"/>
          <w:szCs w:val="12"/>
          <w:color w:val="auto"/>
        </w:rPr>
        <w:t>All references to legislation in this letter are to the legislation of England unless the contrary is indicated, and any reference to any provision of any legislation shall include any amendment, modification, re-enactment or extension thereof, as in force on the date of this letter.</w:t>
      </w:r>
    </w:p>
    <w:p>
      <w:pPr>
        <w:spacing w:after="0" w:line="8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color w:val="auto"/>
        </w:rPr>
        <w:t>Cooley (UK) LLP 22 Bishopsgate London EC2N 4BQ UK</w:t>
      </w:r>
    </w:p>
    <w:p>
      <w:pPr>
        <w:spacing w:after="0" w:line="1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 +44 (0) 20 7583 4055 f: +44 (0) 20 7785 9355 cooley.com</w:t>
      </w:r>
    </w:p>
    <w:p>
      <w:pPr>
        <w:spacing w:after="0" w:line="154" w:lineRule="exact"/>
        <w:rPr>
          <w:sz w:val="20"/>
          <w:szCs w:val="20"/>
          <w:color w:val="auto"/>
        </w:rPr>
      </w:pPr>
    </w:p>
    <w:p>
      <w:pPr>
        <w:jc w:val="center"/>
        <w:ind w:left="337" w:right="357"/>
        <w:spacing w:after="0" w:line="305" w:lineRule="auto"/>
        <w:rPr>
          <w:sz w:val="20"/>
          <w:szCs w:val="20"/>
          <w:color w:val="auto"/>
        </w:rPr>
      </w:pPr>
      <w:r>
        <w:rPr>
          <w:rFonts w:ascii="Times New Roman" w:cs="Times New Roman" w:eastAsia="Times New Roman" w:hAnsi="Times New Roman"/>
          <w:sz w:val="12"/>
          <w:szCs w:val="12"/>
          <w:color w:val="auto"/>
        </w:rPr>
        <w:t>Cooley (UK) LLP is a limited liability partnership and is registered in England and Wales with registered number OC395270. Our registered office is at the address above. Cooley (UK) LLP is authorised and regulated by the Solicitors Regulation Authority (SRA number 617791). A list of the members of Cooley (UK) LLP and their professional qualifications is open to inspection at its registered office. The word ‘partner,’ used in relation to Cooley (UK) LLP, refers to a member of Cooley (UK) LLP or an employee or consultant of Cooley (UK) LLP (or any affiliated firm) of equivalent standing.</w:t>
      </w:r>
    </w:p>
    <w:p>
      <w:pPr>
        <w:sectPr>
          <w:pgSz w:w="11900" w:h="16838" w:orient="portrait"/>
          <w:cols w:equalWidth="0" w:num="1">
            <w:col w:w="9019"/>
          </w:cols>
          <w:pgMar w:left="1440" w:top="123" w:right="1440"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Two</w:t>
      </w:r>
    </w:p>
    <w:p>
      <w:pPr>
        <w:spacing w:after="0" w:line="111" w:lineRule="exact"/>
        <w:rPr>
          <w:sz w:val="20"/>
          <w:szCs w:val="20"/>
          <w:color w:val="auto"/>
        </w:rPr>
      </w:pPr>
    </w:p>
    <w:p>
      <w:pPr>
        <w:ind w:left="660" w:hanging="323"/>
        <w:spacing w:after="0"/>
        <w:tabs>
          <w:tab w:leader="none" w:pos="66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For the purpose of issuing this letter, we have reviewed the following documents only:</w:t>
      </w:r>
    </w:p>
    <w:p>
      <w:pPr>
        <w:spacing w:after="0" w:line="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2"/>
          <w:szCs w:val="12"/>
          <w:color w:val="auto"/>
        </w:rPr>
        <w:t>a PDF copy of the Registration Statement to be filed by the Company with the SEC on 10 April 2026;</w:t>
      </w:r>
    </w:p>
    <w:p>
      <w:pPr>
        <w:spacing w:after="0" w:line="9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2"/>
          <w:szCs w:val="12"/>
          <w:color w:val="auto"/>
        </w:rPr>
        <w:t>the form of indenture filed as Exhibit 4.7 to the Registration Statement (the “</w:t>
      </w:r>
      <w:r>
        <w:rPr>
          <w:rFonts w:ascii="Times New Roman" w:cs="Times New Roman" w:eastAsia="Times New Roman" w:hAnsi="Times New Roman"/>
          <w:sz w:val="12"/>
          <w:szCs w:val="12"/>
          <w:b w:val="1"/>
          <w:bCs w:val="1"/>
          <w:color w:val="auto"/>
        </w:rPr>
        <w:t>Indenture</w:t>
      </w:r>
      <w:r>
        <w:rPr>
          <w:rFonts w:ascii="Times New Roman" w:cs="Times New Roman" w:eastAsia="Times New Roman" w:hAnsi="Times New Roman"/>
          <w:sz w:val="12"/>
          <w:szCs w:val="12"/>
          <w:color w:val="auto"/>
        </w:rPr>
        <w:t>”);</w:t>
      </w:r>
    </w:p>
    <w:p>
      <w:pPr>
        <w:spacing w:after="0" w:line="98" w:lineRule="exact"/>
        <w:rPr>
          <w:sz w:val="20"/>
          <w:szCs w:val="20"/>
          <w:color w:val="auto"/>
        </w:rPr>
      </w:pPr>
    </w:p>
    <w:p>
      <w:pPr>
        <w:ind w:left="660" w:right="41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2.3</w:t>
        <w:tab/>
        <w:t>the form of Ordinary Share warrant agreement (including the form of warrant certificate contained therein) filed as Exhibit 4.9 to the Registration Statement (the “</w:t>
      </w:r>
      <w:r>
        <w:rPr>
          <w:rFonts w:ascii="Times New Roman" w:cs="Times New Roman" w:eastAsia="Times New Roman" w:hAnsi="Times New Roman"/>
          <w:sz w:val="14"/>
          <w:szCs w:val="14"/>
          <w:b w:val="1"/>
          <w:bCs w:val="1"/>
          <w:color w:val="auto"/>
        </w:rPr>
        <w:t>Ordinary Share Warrant Agreement</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660" w:right="35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2.4</w:t>
        <w:tab/>
        <w:t>the form of Debt Securities warrant agreement (including the form of warrant certificate contained therein) filed as Exhibit 4.10 to the Registration Statement (together with the Ordinary Share Warrant Agreement, the “</w:t>
      </w:r>
      <w:r>
        <w:rPr>
          <w:rFonts w:ascii="Times New Roman" w:cs="Times New Roman" w:eastAsia="Times New Roman" w:hAnsi="Times New Roman"/>
          <w:sz w:val="14"/>
          <w:szCs w:val="14"/>
          <w:b w:val="1"/>
          <w:bCs w:val="1"/>
          <w:color w:val="auto"/>
        </w:rPr>
        <w:t>Warrant Agreements</w:t>
      </w:r>
      <w:r>
        <w:rPr>
          <w:rFonts w:ascii="Times New Roman" w:cs="Times New Roman" w:eastAsia="Times New Roman" w:hAnsi="Times New Roman"/>
          <w:sz w:val="14"/>
          <w:szCs w:val="14"/>
          <w:color w:val="auto"/>
        </w:rPr>
        <w:t>”); and</w:t>
      </w:r>
    </w:p>
    <w:p>
      <w:pPr>
        <w:spacing w:after="0" w:line="61" w:lineRule="exact"/>
        <w:rPr>
          <w:sz w:val="20"/>
          <w:szCs w:val="20"/>
          <w:color w:val="auto"/>
        </w:rPr>
      </w:pPr>
    </w:p>
    <w:p>
      <w:pPr>
        <w:jc w:val="both"/>
        <w:ind w:left="660" w:right="759" w:hanging="326"/>
        <w:spacing w:after="0" w:line="257" w:lineRule="auto"/>
        <w:tabs>
          <w:tab w:leader="none" w:pos="640" w:val="left"/>
        </w:tabs>
        <w:rPr>
          <w:sz w:val="20"/>
          <w:szCs w:val="20"/>
          <w:color w:val="auto"/>
        </w:rPr>
      </w:pPr>
      <w:r>
        <w:rPr>
          <w:rFonts w:ascii="Times New Roman" w:cs="Times New Roman" w:eastAsia="Times New Roman" w:hAnsi="Times New Roman"/>
          <w:sz w:val="14"/>
          <w:szCs w:val="14"/>
          <w:color w:val="auto"/>
        </w:rPr>
        <w:t>2.5</w:t>
        <w:tab/>
        <w:t>a certificate dated 10 April 2026 (the “</w:t>
      </w:r>
      <w:r>
        <w:rPr>
          <w:rFonts w:ascii="Times New Roman" w:cs="Times New Roman" w:eastAsia="Times New Roman" w:hAnsi="Times New Roman"/>
          <w:sz w:val="14"/>
          <w:szCs w:val="14"/>
          <w:b w:val="1"/>
          <w:bCs w:val="1"/>
          <w:color w:val="auto"/>
        </w:rPr>
        <w:t>Secretary’s Certificate</w:t>
      </w:r>
      <w:r>
        <w:rPr>
          <w:rFonts w:ascii="Times New Roman" w:cs="Times New Roman" w:eastAsia="Times New Roman" w:hAnsi="Times New Roman"/>
          <w:sz w:val="14"/>
          <w:szCs w:val="14"/>
          <w:color w:val="auto"/>
        </w:rPr>
        <w:t>”) signed by the Company’s company secretary (the “</w:t>
      </w:r>
      <w:r>
        <w:rPr>
          <w:rFonts w:ascii="Times New Roman" w:cs="Times New Roman" w:eastAsia="Times New Roman" w:hAnsi="Times New Roman"/>
          <w:sz w:val="14"/>
          <w:szCs w:val="14"/>
          <w:b w:val="1"/>
          <w:bCs w:val="1"/>
          <w:color w:val="auto"/>
        </w:rPr>
        <w:t>Company Secretary</w:t>
      </w:r>
      <w:r>
        <w:rPr>
          <w:rFonts w:ascii="Times New Roman" w:cs="Times New Roman" w:eastAsia="Times New Roman" w:hAnsi="Times New Roman"/>
          <w:sz w:val="14"/>
          <w:szCs w:val="14"/>
          <w:color w:val="auto"/>
        </w:rPr>
        <w:t>”) relating to certain factual matters as at the date of the Secretary’s Certificate and having annexed thereto copies (certified by the Company Secretary as being true, complete, accurate and up-to-date in each case) of the following documents:</w:t>
      </w:r>
    </w:p>
    <w:p>
      <w:pPr>
        <w:spacing w:after="0" w:line="65" w:lineRule="exact"/>
        <w:rPr>
          <w:sz w:val="20"/>
          <w:szCs w:val="20"/>
          <w:color w:val="auto"/>
        </w:rPr>
      </w:pPr>
    </w:p>
    <w:p>
      <w:pPr>
        <w:ind w:left="1400" w:hanging="317"/>
        <w:spacing w:after="0"/>
        <w:tabs>
          <w:tab w:leader="none" w:pos="14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PDF copy of the articles of association of the Company adopted on 26 June 2018 (the “</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400" w:right="1079" w:hanging="317"/>
        <w:spacing w:after="0" w:line="264" w:lineRule="auto"/>
        <w:tabs>
          <w:tab w:leader="none" w:pos="14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PDF copies of the certificate of incorporation of the Company dated 2 February 2018 and certificate of incorporation on re-registration of the Company as a public company dated 18 June 2018;</w:t>
      </w:r>
    </w:p>
    <w:p>
      <w:pPr>
        <w:spacing w:after="0" w:line="60" w:lineRule="exact"/>
        <w:rPr>
          <w:rFonts w:ascii="Times New Roman" w:cs="Times New Roman" w:eastAsia="Times New Roman" w:hAnsi="Times New Roman"/>
          <w:sz w:val="14"/>
          <w:szCs w:val="14"/>
          <w:color w:val="auto"/>
        </w:rPr>
      </w:pPr>
    </w:p>
    <w:p>
      <w:pPr>
        <w:ind w:left="1400" w:right="439" w:hanging="317"/>
        <w:spacing w:after="0" w:line="250" w:lineRule="auto"/>
        <w:tabs>
          <w:tab w:leader="none" w:pos="14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PDF copy of the executed written resolutions adopted by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Directors</w:t>
      </w:r>
      <w:r>
        <w:rPr>
          <w:rFonts w:ascii="Times New Roman" w:cs="Times New Roman" w:eastAsia="Times New Roman" w:hAnsi="Times New Roman"/>
          <w:sz w:val="14"/>
          <w:szCs w:val="14"/>
          <w:color w:val="auto"/>
        </w:rPr>
        <w:t xml:space="preserve">”) on 10 April 2026 at which it was resolved to,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proceed with (i) the preparation, execution and filing with the SEC of the Registration Statement and any amendment or supplement to the Prospectus, and (ii) authorising the issue and sale by the Company of the Securities pursuant to the Registration Statement, at the price and upon such terms as the Board or a committee of the Board shall approve (the “</w:t>
      </w:r>
      <w:r>
        <w:rPr>
          <w:rFonts w:ascii="Times New Roman" w:cs="Times New Roman" w:eastAsia="Times New Roman" w:hAnsi="Times New Roman"/>
          <w:sz w:val="14"/>
          <w:szCs w:val="14"/>
          <w:b w:val="1"/>
          <w:bCs w:val="1"/>
          <w:color w:val="auto"/>
        </w:rPr>
        <w:t>Written Board Resolutions</w:t>
      </w:r>
      <w:r>
        <w:rPr>
          <w:rFonts w:ascii="Times New Roman" w:cs="Times New Roman" w:eastAsia="Times New Roman" w:hAnsi="Times New Roman"/>
          <w:sz w:val="14"/>
          <w:szCs w:val="14"/>
          <w:color w:val="auto"/>
        </w:rPr>
        <w:t>”);</w:t>
      </w:r>
    </w:p>
    <w:p>
      <w:pPr>
        <w:spacing w:after="0" w:line="74" w:lineRule="exact"/>
        <w:rPr>
          <w:rFonts w:ascii="Times New Roman" w:cs="Times New Roman" w:eastAsia="Times New Roman" w:hAnsi="Times New Roman"/>
          <w:sz w:val="14"/>
          <w:szCs w:val="14"/>
          <w:color w:val="auto"/>
        </w:rPr>
      </w:pPr>
    </w:p>
    <w:p>
      <w:pPr>
        <w:ind w:left="1400" w:right="359" w:hanging="317"/>
        <w:spacing w:after="0" w:line="247" w:lineRule="auto"/>
        <w:tabs>
          <w:tab w:leader="none" w:pos="14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PDF copy of an executed extract of the resolutions passed at the annual general meeting of the Company held on 28 June 2024 (the “</w:t>
      </w:r>
      <w:r>
        <w:rPr>
          <w:rFonts w:ascii="Times New Roman" w:cs="Times New Roman" w:eastAsia="Times New Roman" w:hAnsi="Times New Roman"/>
          <w:sz w:val="14"/>
          <w:szCs w:val="14"/>
          <w:b w:val="1"/>
          <w:bCs w:val="1"/>
          <w:color w:val="auto"/>
        </w:rPr>
        <w:t>2024 AGM</w:t>
      </w:r>
      <w:r>
        <w:rPr>
          <w:rFonts w:ascii="Times New Roman" w:cs="Times New Roman" w:eastAsia="Times New Roman" w:hAnsi="Times New Roman"/>
          <w:sz w:val="14"/>
          <w:szCs w:val="14"/>
          <w:color w:val="auto"/>
        </w:rPr>
        <w:t xml:space="preserve">”) at which it was resolved,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to (i) authorise the Board for the purposes of section 551 of the Companies Act 2006, as amended (the “</w:t>
      </w:r>
      <w:r>
        <w:rPr>
          <w:rFonts w:ascii="Times New Roman" w:cs="Times New Roman" w:eastAsia="Times New Roman" w:hAnsi="Times New Roman"/>
          <w:sz w:val="14"/>
          <w:szCs w:val="14"/>
          <w:b w:val="1"/>
          <w:bCs w:val="1"/>
          <w:color w:val="auto"/>
        </w:rPr>
        <w:t>Companies Act</w:t>
      </w:r>
      <w:r>
        <w:rPr>
          <w:rFonts w:ascii="Times New Roman" w:cs="Times New Roman" w:eastAsia="Times New Roman" w:hAnsi="Times New Roman"/>
          <w:sz w:val="14"/>
          <w:szCs w:val="14"/>
          <w:color w:val="auto"/>
        </w:rPr>
        <w:t>”) to allot shares or grant rights to subscribe for, or convert any security into, shares of the Company up to a maximum aggregate nominal amount of $8,400 and (ii) empower the Board to allot equity securities for cash up to a maximum aggregate nominal amount of $8,400 as if section 561(1) of the Companies Act did not apply to the allotment (the “</w:t>
      </w:r>
      <w:r>
        <w:rPr>
          <w:rFonts w:ascii="Times New Roman" w:cs="Times New Roman" w:eastAsia="Times New Roman" w:hAnsi="Times New Roman"/>
          <w:sz w:val="14"/>
          <w:szCs w:val="14"/>
          <w:b w:val="1"/>
          <w:bCs w:val="1"/>
          <w:color w:val="auto"/>
        </w:rPr>
        <w:t>Shareholder Resolutions</w:t>
      </w:r>
      <w:r>
        <w:rPr>
          <w:rFonts w:ascii="Times New Roman" w:cs="Times New Roman" w:eastAsia="Times New Roman" w:hAnsi="Times New Roman"/>
          <w:sz w:val="14"/>
          <w:szCs w:val="14"/>
          <w:color w:val="auto"/>
        </w:rPr>
        <w:t>”).</w:t>
      </w:r>
    </w:p>
    <w:p>
      <w:pPr>
        <w:spacing w:after="0" w:line="74" w:lineRule="exact"/>
        <w:rPr>
          <w:rFonts w:ascii="Times New Roman" w:cs="Times New Roman" w:eastAsia="Times New Roman" w:hAnsi="Times New Roman"/>
          <w:sz w:val="14"/>
          <w:szCs w:val="14"/>
          <w:color w:val="auto"/>
        </w:rPr>
      </w:pPr>
    </w:p>
    <w:p>
      <w:pPr>
        <w:ind w:left="660" w:hanging="323"/>
        <w:spacing w:after="0"/>
        <w:tabs>
          <w:tab w:leader="none" w:pos="66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SEARCHES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addition to examining the documents referred to in paragraph 2 (</w:t>
      </w:r>
      <w:r>
        <w:rPr>
          <w:rFonts w:ascii="Times New Roman" w:cs="Times New Roman" w:eastAsia="Times New Roman" w:hAnsi="Times New Roman"/>
          <w:sz w:val="14"/>
          <w:szCs w:val="14"/>
          <w:i w:val="1"/>
          <w:iCs w:val="1"/>
          <w:color w:val="auto"/>
        </w:rPr>
        <w:t>Documents</w:t>
      </w:r>
      <w:r>
        <w:rPr>
          <w:rFonts w:ascii="Times New Roman" w:cs="Times New Roman" w:eastAsia="Times New Roman" w:hAnsi="Times New Roman"/>
          <w:sz w:val="14"/>
          <w:szCs w:val="14"/>
          <w:color w:val="auto"/>
        </w:rPr>
        <w:t>), we have carried out the following searches only:</w:t>
      </w:r>
    </w:p>
    <w:p>
      <w:pPr>
        <w:spacing w:after="0" w:line="92" w:lineRule="exact"/>
        <w:rPr>
          <w:sz w:val="20"/>
          <w:szCs w:val="20"/>
          <w:color w:val="auto"/>
        </w:rPr>
      </w:pPr>
    </w:p>
    <w:p>
      <w:pPr>
        <w:ind w:left="660" w:right="379" w:hanging="326"/>
        <w:spacing w:after="0" w:line="270" w:lineRule="auto"/>
        <w:tabs>
          <w:tab w:leader="none" w:pos="640" w:val="left"/>
        </w:tabs>
        <w:rPr>
          <w:sz w:val="20"/>
          <w:szCs w:val="20"/>
          <w:color w:val="auto"/>
        </w:rPr>
      </w:pPr>
      <w:r>
        <w:rPr>
          <w:rFonts w:ascii="Times New Roman" w:cs="Times New Roman" w:eastAsia="Times New Roman" w:hAnsi="Times New Roman"/>
          <w:sz w:val="14"/>
          <w:szCs w:val="14"/>
          <w:color w:val="auto"/>
        </w:rPr>
        <w:t>3.1</w:t>
        <w:tab/>
        <w:t>an online search at Companies House in England and Wales (“</w:t>
      </w:r>
      <w:r>
        <w:rPr>
          <w:rFonts w:ascii="Times New Roman" w:cs="Times New Roman" w:eastAsia="Times New Roman" w:hAnsi="Times New Roman"/>
          <w:sz w:val="14"/>
          <w:szCs w:val="14"/>
          <w:b w:val="1"/>
          <w:bCs w:val="1"/>
          <w:color w:val="auto"/>
        </w:rPr>
        <w:t>Companies House</w:t>
      </w:r>
      <w:r>
        <w:rPr>
          <w:rFonts w:ascii="Times New Roman" w:cs="Times New Roman" w:eastAsia="Times New Roman" w:hAnsi="Times New Roman"/>
          <w:sz w:val="14"/>
          <w:szCs w:val="14"/>
          <w:color w:val="auto"/>
        </w:rPr>
        <w:t>”) with respect to the Company, carried out at 8:24 a.m. (London time) on 10 April 2026 (the “</w:t>
      </w:r>
      <w:r>
        <w:rPr>
          <w:rFonts w:ascii="Times New Roman" w:cs="Times New Roman" w:eastAsia="Times New Roman" w:hAnsi="Times New Roman"/>
          <w:sz w:val="14"/>
          <w:szCs w:val="14"/>
          <w:b w:val="1"/>
          <w:bCs w:val="1"/>
          <w:color w:val="auto"/>
        </w:rPr>
        <w:t>Companies House Search</w:t>
      </w:r>
      <w:r>
        <w:rPr>
          <w:rFonts w:ascii="Times New Roman" w:cs="Times New Roman" w:eastAsia="Times New Roman" w:hAnsi="Times New Roman"/>
          <w:sz w:val="14"/>
          <w:szCs w:val="14"/>
          <w:color w:val="auto"/>
        </w:rPr>
        <w:t>”); and</w:t>
      </w:r>
    </w:p>
    <w:p>
      <w:pPr>
        <w:spacing w:after="0" w:line="56" w:lineRule="exact"/>
        <w:rPr>
          <w:sz w:val="20"/>
          <w:szCs w:val="20"/>
          <w:color w:val="auto"/>
        </w:rPr>
      </w:pPr>
    </w:p>
    <w:p>
      <w:pPr>
        <w:ind w:left="660" w:right="359" w:hanging="326"/>
        <w:spacing w:after="0" w:line="257" w:lineRule="auto"/>
        <w:tabs>
          <w:tab w:leader="none" w:pos="640" w:val="left"/>
        </w:tabs>
        <w:rPr>
          <w:sz w:val="20"/>
          <w:szCs w:val="20"/>
          <w:color w:val="auto"/>
        </w:rPr>
      </w:pPr>
      <w:r>
        <w:rPr>
          <w:rFonts w:ascii="Times New Roman" w:cs="Times New Roman" w:eastAsia="Times New Roman" w:hAnsi="Times New Roman"/>
          <w:sz w:val="14"/>
          <w:szCs w:val="14"/>
          <w:color w:val="auto"/>
        </w:rPr>
        <w:t>3.2</w:t>
        <w:tab/>
        <w:t>an online enquiry of the Central Registry of Winding-up Petitions at the Insolvency and Companies List in England and Wales (the “</w:t>
      </w:r>
      <w:r>
        <w:rPr>
          <w:rFonts w:ascii="Times New Roman" w:cs="Times New Roman" w:eastAsia="Times New Roman" w:hAnsi="Times New Roman"/>
          <w:sz w:val="14"/>
          <w:szCs w:val="14"/>
          <w:b w:val="1"/>
          <w:bCs w:val="1"/>
          <w:color w:val="auto"/>
        </w:rPr>
        <w:t>Central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Registry</w:t>
      </w:r>
      <w:r>
        <w:rPr>
          <w:rFonts w:ascii="Times New Roman" w:cs="Times New Roman" w:eastAsia="Times New Roman" w:hAnsi="Times New Roman"/>
          <w:sz w:val="14"/>
          <w:szCs w:val="14"/>
          <w:color w:val="auto"/>
        </w:rPr>
        <w:t>”) with respect to the Company, carried out at 10:00 a.m. (London time) on 10 April 2026 (the “</w:t>
      </w:r>
      <w:r>
        <w:rPr>
          <w:rFonts w:ascii="Times New Roman" w:cs="Times New Roman" w:eastAsia="Times New Roman" w:hAnsi="Times New Roman"/>
          <w:sz w:val="14"/>
          <w:szCs w:val="14"/>
          <w:b w:val="1"/>
          <w:bCs w:val="1"/>
          <w:color w:val="auto"/>
        </w:rPr>
        <w:t>Central Registry Enquiry</w:t>
      </w:r>
      <w:r>
        <w:rPr>
          <w:rFonts w:ascii="Times New Roman" w:cs="Times New Roman" w:eastAsia="Times New Roman" w:hAnsi="Times New Roman"/>
          <w:sz w:val="14"/>
          <w:szCs w:val="14"/>
          <w:color w:val="auto"/>
        </w:rPr>
        <w:t>” and,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Companies House Search, the “</w:t>
      </w:r>
      <w:r>
        <w:rPr>
          <w:rFonts w:ascii="Times New Roman" w:cs="Times New Roman" w:eastAsia="Times New Roman" w:hAnsi="Times New Roman"/>
          <w:sz w:val="14"/>
          <w:szCs w:val="14"/>
          <w:b w:val="1"/>
          <w:bCs w:val="1"/>
          <w:color w:val="auto"/>
        </w:rPr>
        <w:t>Searches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9" w:right="1440"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Three</w:t>
      </w:r>
    </w:p>
    <w:p>
      <w:pPr>
        <w:spacing w:after="0" w:line="111" w:lineRule="exact"/>
        <w:rPr>
          <w:sz w:val="20"/>
          <w:szCs w:val="20"/>
          <w:color w:val="auto"/>
        </w:rPr>
      </w:pPr>
    </w:p>
    <w:p>
      <w:pPr>
        <w:ind w:left="660" w:hanging="323"/>
        <w:spacing w:after="0"/>
        <w:tabs>
          <w:tab w:leader="none" w:pos="66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86" w:lineRule="exact"/>
        <w:rPr>
          <w:rFonts w:ascii="Times New Roman" w:cs="Times New Roman" w:eastAsia="Times New Roman" w:hAnsi="Times New Roman"/>
          <w:sz w:val="14"/>
          <w:szCs w:val="14"/>
          <w:b w:val="1"/>
          <w:bCs w:val="1"/>
          <w:color w:val="auto"/>
        </w:rPr>
      </w:pPr>
    </w:p>
    <w:p>
      <w:pPr>
        <w:ind w:left="680" w:right="679"/>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Subject to the assumptions set out in paragraph 5 (</w:t>
      </w:r>
      <w:r>
        <w:rPr>
          <w:rFonts w:ascii="Times New Roman" w:cs="Times New Roman" w:eastAsia="Times New Roman" w:hAnsi="Times New Roman"/>
          <w:sz w:val="14"/>
          <w:szCs w:val="14"/>
          <w:i w:val="1"/>
          <w:iCs w:val="1"/>
          <w:color w:val="auto"/>
        </w:rPr>
        <w:t>Assumptions</w:t>
      </w:r>
      <w:r>
        <w:rPr>
          <w:rFonts w:ascii="Times New Roman" w:cs="Times New Roman" w:eastAsia="Times New Roman" w:hAnsi="Times New Roman"/>
          <w:sz w:val="14"/>
          <w:szCs w:val="14"/>
          <w:color w:val="auto"/>
        </w:rPr>
        <w:t>), the scope of the opinions set out in paragraph 6 (</w:t>
      </w:r>
      <w:r>
        <w:rPr>
          <w:rFonts w:ascii="Times New Roman" w:cs="Times New Roman" w:eastAsia="Times New Roman" w:hAnsi="Times New Roman"/>
          <w:sz w:val="14"/>
          <w:szCs w:val="14"/>
          <w:i w:val="1"/>
          <w:iCs w:val="1"/>
          <w:color w:val="auto"/>
        </w:rPr>
        <w:t>Scope of Opinions</w:t>
      </w:r>
      <w:r>
        <w:rPr>
          <w:rFonts w:ascii="Times New Roman" w:cs="Times New Roman" w:eastAsia="Times New Roman" w:hAnsi="Times New Roman"/>
          <w:sz w:val="14"/>
          <w:szCs w:val="14"/>
          <w:color w:val="auto"/>
        </w:rPr>
        <w:t>) and the reservations set out in paragraph 7 (</w:t>
      </w:r>
      <w:r>
        <w:rPr>
          <w:rFonts w:ascii="Times New Roman" w:cs="Times New Roman" w:eastAsia="Times New Roman" w:hAnsi="Times New Roman"/>
          <w:sz w:val="14"/>
          <w:szCs w:val="14"/>
          <w:i w:val="1"/>
          <w:iCs w:val="1"/>
          <w:color w:val="auto"/>
        </w:rPr>
        <w:t>Reservations</w:t>
      </w:r>
      <w:r>
        <w:rPr>
          <w:rFonts w:ascii="Times New Roman" w:cs="Times New Roman" w:eastAsia="Times New Roman" w:hAnsi="Times New Roman"/>
          <w:sz w:val="14"/>
          <w:szCs w:val="14"/>
          <w:color w:val="auto"/>
        </w:rPr>
        <w:t>), we are of the opinion that as at the date of this letter:</w:t>
      </w:r>
    </w:p>
    <w:p>
      <w:pPr>
        <w:spacing w:after="0" w:line="6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2"/>
          <w:szCs w:val="12"/>
          <w:color w:val="auto"/>
        </w:rPr>
        <w:t>The Company has been duly incorporated and is existing as a public company with limited liability under English law.</w:t>
      </w:r>
    </w:p>
    <w:p>
      <w:pPr>
        <w:spacing w:after="0" w:line="94" w:lineRule="exact"/>
        <w:rPr>
          <w:sz w:val="20"/>
          <w:szCs w:val="20"/>
          <w:color w:val="auto"/>
        </w:rPr>
      </w:pPr>
    </w:p>
    <w:p>
      <w:pPr>
        <w:ind w:left="660" w:right="439" w:hanging="326"/>
        <w:spacing w:after="0" w:line="254" w:lineRule="auto"/>
        <w:tabs>
          <w:tab w:leader="none" w:pos="640" w:val="left"/>
        </w:tabs>
        <w:rPr>
          <w:sz w:val="20"/>
          <w:szCs w:val="20"/>
          <w:color w:val="auto"/>
        </w:rPr>
      </w:pPr>
      <w:r>
        <w:rPr>
          <w:rFonts w:ascii="Times New Roman" w:cs="Times New Roman" w:eastAsia="Times New Roman" w:hAnsi="Times New Roman"/>
          <w:sz w:val="14"/>
          <w:szCs w:val="14"/>
          <w:color w:val="auto"/>
        </w:rPr>
        <w:t>4.2</w:t>
        <w:tab/>
        <w:t>The Searches gave no indication that any winding-up, dissolution or administration order or appointment of a receiver, administrator, administrative receiver or similar officer has been made with respect to the Company, or that any petition for the winding-up of the Company has been presented.</w:t>
      </w:r>
    </w:p>
    <w:p>
      <w:pPr>
        <w:spacing w:after="0" w:line="71" w:lineRule="exact"/>
        <w:rPr>
          <w:sz w:val="20"/>
          <w:szCs w:val="20"/>
          <w:color w:val="auto"/>
        </w:rPr>
      </w:pPr>
    </w:p>
    <w:p>
      <w:pPr>
        <w:jc w:val="both"/>
        <w:ind w:left="660" w:right="539" w:hanging="326"/>
        <w:spacing w:after="0" w:line="248" w:lineRule="auto"/>
        <w:tabs>
          <w:tab w:leader="none" w:pos="640" w:val="left"/>
        </w:tabs>
        <w:rPr>
          <w:sz w:val="20"/>
          <w:szCs w:val="20"/>
          <w:color w:val="auto"/>
        </w:rPr>
      </w:pPr>
      <w:r>
        <w:rPr>
          <w:rFonts w:ascii="Times New Roman" w:cs="Times New Roman" w:eastAsia="Times New Roman" w:hAnsi="Times New Roman"/>
          <w:sz w:val="14"/>
          <w:szCs w:val="14"/>
          <w:color w:val="auto"/>
        </w:rPr>
        <w:t>4.3</w:t>
        <w:tab/>
        <w:t>The Ordinary Shares, when issued, delivered and paid for as contemplated in the Registration Statement and in accordance with the terms of a duly authorised, executed and delivered purchase, underwriting or similar agreement, or upon conversion of any convertible Debt Securities in accordance with their terms (subject to compliance by the Board with the restrictions on borrowing powers set out in Article 108 of the Articles when issuing Debt Securities), or upon exercise of any Warrants in accordance with their terms, will be validly issued, fully paid or credited as fully paid, and will not be subject to any call for payment of further capital.</w:t>
      </w:r>
    </w:p>
    <w:p>
      <w:pPr>
        <w:spacing w:after="0" w:line="77" w:lineRule="exact"/>
        <w:rPr>
          <w:sz w:val="20"/>
          <w:szCs w:val="20"/>
          <w:color w:val="auto"/>
        </w:rPr>
      </w:pPr>
    </w:p>
    <w:p>
      <w:pPr>
        <w:ind w:left="660" w:right="45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4.4</w:t>
        <w:tab/>
        <w:t>The Company has the requisite corporate power and capacity to enter into the Indenture (subject to compliance by the Board with the restrictions on borrowing powers set out in Article 108 of the Articles) and the Warrant Agreements.</w:t>
      </w:r>
    </w:p>
    <w:p>
      <w:pPr>
        <w:spacing w:after="0" w:line="61" w:lineRule="exact"/>
        <w:rPr>
          <w:sz w:val="20"/>
          <w:szCs w:val="20"/>
          <w:color w:val="auto"/>
        </w:rPr>
      </w:pPr>
    </w:p>
    <w:p>
      <w:pPr>
        <w:ind w:left="660" w:hanging="323"/>
        <w:spacing w:after="0"/>
        <w:tabs>
          <w:tab w:leader="none" w:pos="66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giving the opinions in this letter, we have assumed (without making enquiry or investigation) that:</w:t>
      </w:r>
    </w:p>
    <w:p>
      <w:pPr>
        <w:spacing w:after="0" w:line="94" w:lineRule="exact"/>
        <w:rPr>
          <w:sz w:val="20"/>
          <w:szCs w:val="20"/>
          <w:color w:val="auto"/>
        </w:rPr>
      </w:pPr>
    </w:p>
    <w:p>
      <w:pPr>
        <w:ind w:left="660" w:right="519" w:hanging="326"/>
        <w:spacing w:after="0" w:line="250" w:lineRule="auto"/>
        <w:tabs>
          <w:tab w:leader="none" w:pos="640" w:val="left"/>
        </w:tabs>
        <w:rPr>
          <w:sz w:val="20"/>
          <w:szCs w:val="20"/>
          <w:color w:val="auto"/>
        </w:rPr>
      </w:pPr>
      <w:r>
        <w:rPr>
          <w:rFonts w:ascii="Times New Roman" w:cs="Times New Roman" w:eastAsia="Times New Roman" w:hAnsi="Times New Roman"/>
          <w:sz w:val="14"/>
          <w:szCs w:val="14"/>
          <w:color w:val="auto"/>
        </w:rPr>
        <w:t>5.1</w:t>
        <w:tab/>
        <w:t>all signatures, stamps and seals on all documents are genuine. All original documents are complete, authentic and up-to-date, and all documents submitted to us as a copy (whether by email or otherwise) are complete and accurate and conform to the original documents of which they are copies and that no amendments (whether oral, in writing or by conduct of the parties) have been made to any of the documents since they were examined by us;</w:t>
      </w:r>
    </w:p>
    <w:p>
      <w:pPr>
        <w:spacing w:after="0" w:line="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2"/>
          <w:szCs w:val="12"/>
          <w:color w:val="auto"/>
        </w:rPr>
        <w:t>where a document has been examined by us in draft or specimen form, it will be or has been duly executed in the form of that draft or specimen;</w:t>
      </w:r>
    </w:p>
    <w:p>
      <w:pPr>
        <w:spacing w:after="0" w:line="94" w:lineRule="exact"/>
        <w:rPr>
          <w:sz w:val="20"/>
          <w:szCs w:val="20"/>
          <w:color w:val="auto"/>
        </w:rPr>
      </w:pPr>
    </w:p>
    <w:p>
      <w:pPr>
        <w:ind w:left="660" w:right="49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5.3</w:t>
        <w:tab/>
        <w:t>each of the individuals who signs as, or otherwise claims to be, an officer of the Company is the individual whom they claim to be and holds the office that they claim to hold;</w:t>
      </w:r>
    </w:p>
    <w:p>
      <w:pPr>
        <w:spacing w:after="0" w:line="65" w:lineRule="exact"/>
        <w:rPr>
          <w:sz w:val="20"/>
          <w:szCs w:val="20"/>
          <w:color w:val="auto"/>
        </w:rPr>
      </w:pPr>
    </w:p>
    <w:p>
      <w:pPr>
        <w:ind w:left="660" w:right="107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5.4</w:t>
        <w:tab/>
        <w:t>where a document is required to be delivered, each party to it has delivered the same without it being subject to any escrow or similar arrangement;</w:t>
      </w:r>
    </w:p>
    <w:p>
      <w:pPr>
        <w:spacing w:after="0" w:line="65" w:lineRule="exact"/>
        <w:rPr>
          <w:sz w:val="20"/>
          <w:szCs w:val="20"/>
          <w:color w:val="auto"/>
        </w:rPr>
      </w:pPr>
    </w:p>
    <w:p>
      <w:pPr>
        <w:ind w:left="660" w:right="65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5.5</w:t>
        <w:tab/>
        <w:t>all documents, forms and notices which should have been delivered to Companies House in respect of the Company have been and will be so delivered;</w:t>
      </w:r>
    </w:p>
    <w:p>
      <w:pPr>
        <w:spacing w:after="0" w:line="65" w:lineRule="exact"/>
        <w:rPr>
          <w:sz w:val="20"/>
          <w:szCs w:val="20"/>
          <w:color w:val="auto"/>
        </w:rPr>
      </w:pPr>
    </w:p>
    <w:p>
      <w:pPr>
        <w:ind w:left="660" w:right="459" w:hanging="326"/>
        <w:spacing w:after="0" w:line="248" w:lineRule="auto"/>
        <w:tabs>
          <w:tab w:leader="none" w:pos="640" w:val="left"/>
        </w:tabs>
        <w:rPr>
          <w:sz w:val="20"/>
          <w:szCs w:val="20"/>
          <w:color w:val="auto"/>
        </w:rPr>
      </w:pPr>
      <w:r>
        <w:rPr>
          <w:rFonts w:ascii="Times New Roman" w:cs="Times New Roman" w:eastAsia="Times New Roman" w:hAnsi="Times New Roman"/>
          <w:sz w:val="14"/>
          <w:szCs w:val="14"/>
          <w:color w:val="auto"/>
        </w:rPr>
        <w:t>5.6</w:t>
        <w:tab/>
        <w:t>the information revealed by the Searches is true, accurate, complete and up-to-date in all respects, and there is no information which should have been disclosed by the Searches that has not been disclosed for any reason and there has been no alteration in the status or condition of the Company since the date and time that the Searches were made, and that the results of the Searches will remain true, complete, accurate and up-to-date as at the date of the Registration Statement and as at each date on which the Company allots or issues Securities or enters into the Indenture and/or the Warrant Agreements (each, a “</w:t>
      </w:r>
      <w:r>
        <w:rPr>
          <w:rFonts w:ascii="Times New Roman" w:cs="Times New Roman" w:eastAsia="Times New Roman" w:hAnsi="Times New Roman"/>
          <w:sz w:val="14"/>
          <w:szCs w:val="14"/>
          <w:b w:val="1"/>
          <w:bCs w:val="1"/>
          <w:color w:val="auto"/>
        </w:rPr>
        <w:t>Bring-Down Date</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ind w:left="660" w:right="53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5.7</w:t>
        <w:tab/>
        <w:t>no notice has been received by the Company which could lead to the Company being struck off the register of companies under section 1000 of the Companies Act and no such notice shall have been received as at each Bring-Down Date;</w:t>
      </w:r>
    </w:p>
    <w:p>
      <w:pPr>
        <w:sectPr>
          <w:pgSz w:w="11900" w:h="16838" w:orient="portrait"/>
          <w:cols w:equalWidth="0" w:num="1">
            <w:col w:w="9019"/>
          </w:cols>
          <w:pgMar w:left="1440" w:top="239" w:right="1440"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Four</w:t>
      </w:r>
    </w:p>
    <w:p>
      <w:pPr>
        <w:spacing w:after="0" w:line="115" w:lineRule="exact"/>
        <w:rPr>
          <w:sz w:val="20"/>
          <w:szCs w:val="20"/>
          <w:color w:val="auto"/>
        </w:rPr>
      </w:pPr>
    </w:p>
    <w:p>
      <w:pPr>
        <w:ind w:left="660" w:right="35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5.8</w:t>
        <w:tab/>
        <w:t>the Articles remain in full force and effect and no alteration has been made or will be made to the Articles as at the date of this letter and as at each Bring-Down Date;</w:t>
      </w:r>
    </w:p>
    <w:p>
      <w:pPr>
        <w:spacing w:after="0" w:line="6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5.9</w:t>
      </w:r>
      <w:r>
        <w:rPr>
          <w:sz w:val="20"/>
          <w:szCs w:val="20"/>
          <w:color w:val="auto"/>
        </w:rPr>
        <w:tab/>
      </w:r>
      <w:r>
        <w:rPr>
          <w:rFonts w:ascii="Times New Roman" w:cs="Times New Roman" w:eastAsia="Times New Roman" w:hAnsi="Times New Roman"/>
          <w:sz w:val="12"/>
          <w:szCs w:val="12"/>
          <w:color w:val="auto"/>
        </w:rPr>
        <w:t>the Securities will be sold or issued in accordance with a duly authorised, executed and delivered purchase, underwriting or similar agreement;</w:t>
      </w:r>
    </w:p>
    <w:p>
      <w:pPr>
        <w:spacing w:after="0" w:line="94" w:lineRule="exact"/>
        <w:rPr>
          <w:sz w:val="20"/>
          <w:szCs w:val="20"/>
          <w:color w:val="auto"/>
        </w:rPr>
      </w:pPr>
    </w:p>
    <w:p>
      <w:pPr>
        <w:ind w:left="660" w:right="679" w:hanging="326"/>
        <w:spacing w:after="0" w:line="305" w:lineRule="auto"/>
        <w:rPr>
          <w:sz w:val="20"/>
          <w:szCs w:val="20"/>
          <w:color w:val="auto"/>
        </w:rPr>
      </w:pPr>
      <w:r>
        <w:rPr>
          <w:rFonts w:ascii="Times New Roman" w:cs="Times New Roman" w:eastAsia="Times New Roman" w:hAnsi="Times New Roman"/>
          <w:sz w:val="12"/>
          <w:szCs w:val="12"/>
          <w:color w:val="auto"/>
        </w:rPr>
        <w:t>5.10 to the extent that the obligations of the Company under the Indenture and the Warrant Agreements, any purchase, underwriting or similar agreement pursuant to which Securities will be sold or issued or any other document to be entered into in connection with any offering of Securities pursuant to the Registration Statement, the Base Prospectus and any other relevant Prospectus (each a “</w:t>
      </w:r>
      <w:r>
        <w:rPr>
          <w:rFonts w:ascii="Times New Roman" w:cs="Times New Roman" w:eastAsia="Times New Roman" w:hAnsi="Times New Roman"/>
          <w:sz w:val="12"/>
          <w:szCs w:val="12"/>
          <w:b w:val="1"/>
          <w:bCs w:val="1"/>
          <w:color w:val="auto"/>
        </w:rPr>
        <w:t>Relevant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Relevant Agreements</w:t>
      </w:r>
      <w:r>
        <w:rPr>
          <w:rFonts w:ascii="Times New Roman" w:cs="Times New Roman" w:eastAsia="Times New Roman" w:hAnsi="Times New Roman"/>
          <w:sz w:val="12"/>
          <w:szCs w:val="12"/>
          <w:color w:val="auto"/>
        </w:rPr>
        <w:t>”) may be dependent upon such matters, each of the parties to such Relevant Agreement:</w:t>
      </w:r>
    </w:p>
    <w:p>
      <w:pPr>
        <w:spacing w:after="0" w:line="44" w:lineRule="exact"/>
        <w:rPr>
          <w:sz w:val="20"/>
          <w:szCs w:val="20"/>
          <w:color w:val="auto"/>
        </w:rPr>
      </w:pPr>
    </w:p>
    <w:p>
      <w:pPr>
        <w:ind w:left="1400" w:right="459" w:hanging="317"/>
        <w:spacing w:after="0" w:line="264" w:lineRule="auto"/>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duly organised, validly existing and in good standing (where such concept is legally relevant) under the laws of its jurisdiction of incorporation;</w:t>
      </w:r>
    </w:p>
    <w:p>
      <w:pPr>
        <w:spacing w:after="0" w:line="64" w:lineRule="exact"/>
        <w:rPr>
          <w:rFonts w:ascii="Times New Roman" w:cs="Times New Roman" w:eastAsia="Times New Roman" w:hAnsi="Times New Roman"/>
          <w:sz w:val="14"/>
          <w:szCs w:val="14"/>
          <w:color w:val="auto"/>
        </w:rPr>
      </w:pPr>
    </w:p>
    <w:p>
      <w:pPr>
        <w:ind w:left="1400" w:right="379" w:hanging="317"/>
        <w:spacing w:after="0" w:line="264" w:lineRule="auto"/>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compliance, generally, with all applicable laws, rules and regulations to which it is subject, its constitutional documents and any judicial or administrative judgements, awards, injunctions or orders binding upon it or its property;</w:t>
      </w:r>
    </w:p>
    <w:p>
      <w:pPr>
        <w:spacing w:after="0" w:line="64" w:lineRule="exact"/>
        <w:rPr>
          <w:rFonts w:ascii="Times New Roman" w:cs="Times New Roman" w:eastAsia="Times New Roman" w:hAnsi="Times New Roman"/>
          <w:sz w:val="14"/>
          <w:szCs w:val="14"/>
          <w:color w:val="auto"/>
        </w:rPr>
      </w:pPr>
    </w:p>
    <w:p>
      <w:pPr>
        <w:ind w:left="1400" w:hanging="317"/>
        <w:spacing w:after="0"/>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the capacity, power and authority to execute, deliver and perform the Relevant Agreements;</w:t>
      </w:r>
    </w:p>
    <w:p>
      <w:pPr>
        <w:spacing w:after="0" w:line="94" w:lineRule="exact"/>
        <w:rPr>
          <w:rFonts w:ascii="Times New Roman" w:cs="Times New Roman" w:eastAsia="Times New Roman" w:hAnsi="Times New Roman"/>
          <w:sz w:val="14"/>
          <w:szCs w:val="14"/>
          <w:color w:val="auto"/>
        </w:rPr>
      </w:pPr>
    </w:p>
    <w:p>
      <w:pPr>
        <w:ind w:left="1400" w:right="659" w:hanging="317"/>
        <w:spacing w:after="0" w:line="254" w:lineRule="auto"/>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duly qualified to engage in the activities contemplated by the Relevant Agreements and will not be in breach of any of its respective obligations under any document, contract, instrument or agreement as a result of its entry into and performance of its obligations under the Relevant Agreements;</w:t>
      </w:r>
    </w:p>
    <w:p>
      <w:pPr>
        <w:spacing w:after="0" w:line="70" w:lineRule="exact"/>
        <w:rPr>
          <w:rFonts w:ascii="Times New Roman" w:cs="Times New Roman" w:eastAsia="Times New Roman" w:hAnsi="Times New Roman"/>
          <w:sz w:val="14"/>
          <w:szCs w:val="14"/>
          <w:color w:val="auto"/>
        </w:rPr>
      </w:pPr>
    </w:p>
    <w:p>
      <w:pPr>
        <w:ind w:left="1400" w:right="519" w:hanging="317"/>
        <w:spacing w:after="0" w:line="264" w:lineRule="auto"/>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authorised under all applicable laws of its jurisdiction and domicile to submit to the jurisdiction of the relevant courts or arbitral tribunal specified in such Relevant Agreement and has validly submitted to such jurisdiction; and</w:t>
      </w:r>
    </w:p>
    <w:p>
      <w:pPr>
        <w:spacing w:after="0" w:line="64" w:lineRule="exact"/>
        <w:rPr>
          <w:rFonts w:ascii="Times New Roman" w:cs="Times New Roman" w:eastAsia="Times New Roman" w:hAnsi="Times New Roman"/>
          <w:sz w:val="14"/>
          <w:szCs w:val="14"/>
          <w:color w:val="auto"/>
        </w:rPr>
      </w:pPr>
    </w:p>
    <w:p>
      <w:pPr>
        <w:ind w:left="1400" w:hanging="317"/>
        <w:spacing w:after="0"/>
        <w:tabs>
          <w:tab w:leader="none" w:pos="14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validly authorised, executed and delivered all relevant documents,</w:t>
      </w:r>
    </w:p>
    <w:p>
      <w:pPr>
        <w:spacing w:after="0" w:line="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and that each of the foregoing remains the case as at each Bring-Down Date;</w:t>
      </w:r>
    </w:p>
    <w:p>
      <w:pPr>
        <w:spacing w:after="0" w:line="94" w:lineRule="exact"/>
        <w:rPr>
          <w:sz w:val="20"/>
          <w:szCs w:val="20"/>
          <w:color w:val="auto"/>
        </w:rPr>
      </w:pPr>
    </w:p>
    <w:p>
      <w:pPr>
        <w:ind w:left="660" w:right="419" w:hanging="326"/>
        <w:spacing w:after="0" w:line="254" w:lineRule="auto"/>
        <w:rPr>
          <w:sz w:val="20"/>
          <w:szCs w:val="20"/>
          <w:color w:val="auto"/>
        </w:rPr>
      </w:pPr>
      <w:r>
        <w:rPr>
          <w:rFonts w:ascii="Times New Roman" w:cs="Times New Roman" w:eastAsia="Times New Roman" w:hAnsi="Times New Roman"/>
          <w:sz w:val="14"/>
          <w:szCs w:val="14"/>
          <w:color w:val="auto"/>
        </w:rPr>
        <w:t>5.11 each Relevant Agreement (and any other documents referred to therein) constitutes, or will constitute, legal, valid and binding obligations of each of the parties thereto enforceable under all applicable laws and that each of the Relevant Agreements will remain in full force and effect at each Bring-Down Date and, in the case of the Indenture and the Warrant Agreements, in the form reviewed by us;</w:t>
      </w:r>
    </w:p>
    <w:p>
      <w:pPr>
        <w:spacing w:after="0" w:line="71" w:lineRule="exact"/>
        <w:rPr>
          <w:sz w:val="20"/>
          <w:szCs w:val="20"/>
          <w:color w:val="auto"/>
        </w:rPr>
      </w:pPr>
    </w:p>
    <w:p>
      <w:pPr>
        <w:ind w:left="660" w:right="359" w:hanging="326"/>
        <w:spacing w:after="0" w:line="316" w:lineRule="auto"/>
        <w:rPr>
          <w:sz w:val="20"/>
          <w:szCs w:val="20"/>
          <w:color w:val="auto"/>
        </w:rPr>
      </w:pPr>
      <w:r>
        <w:rPr>
          <w:rFonts w:ascii="Times New Roman" w:cs="Times New Roman" w:eastAsia="Times New Roman" w:hAnsi="Times New Roman"/>
          <w:sz w:val="12"/>
          <w:szCs w:val="12"/>
          <w:color w:val="auto"/>
        </w:rPr>
        <w:t>5.12 there is an absence of fraud or mutual mistake of fact or law or any other arrangements, agreements, understandings or course of conduct or prior or subsequent dealings amending, rescinding or modifying or suspending any of the terms of any of the Relevant Agreements or which would result in the inclusion of additional terms therein, and that the parties have acted in accordance with the terms of each of the Relevant Agreements;</w:t>
      </w:r>
    </w:p>
    <w:p>
      <w:pPr>
        <w:spacing w:after="0" w:line="37" w:lineRule="exact"/>
        <w:rPr>
          <w:sz w:val="20"/>
          <w:szCs w:val="20"/>
          <w:color w:val="auto"/>
        </w:rPr>
      </w:pPr>
    </w:p>
    <w:p>
      <w:pPr>
        <w:ind w:left="660" w:right="399" w:hanging="326"/>
        <w:spacing w:after="0" w:line="250" w:lineRule="auto"/>
        <w:rPr>
          <w:sz w:val="20"/>
          <w:szCs w:val="20"/>
          <w:color w:val="auto"/>
        </w:rPr>
      </w:pPr>
      <w:r>
        <w:rPr>
          <w:rFonts w:ascii="Times New Roman" w:cs="Times New Roman" w:eastAsia="Times New Roman" w:hAnsi="Times New Roman"/>
          <w:sz w:val="14"/>
          <w:szCs w:val="14"/>
          <w:color w:val="auto"/>
        </w:rPr>
        <w:t>5.13 in relation to the Registration Statement and any relevant Prospectus and the transactions contemplated thereby, the Directors have acted and will act in the manner required by section 172 of the Companies Act and that each issuance of Securities pursuant to the Registration Statement and any relevant Prospectus will be made in good faith and on bona fide commercial terms and on arms’ length terms and for the purposes of carrying on the business of the Company;</w:t>
      </w:r>
    </w:p>
    <w:p>
      <w:pPr>
        <w:spacing w:after="0" w:line="75" w:lineRule="exact"/>
        <w:rPr>
          <w:sz w:val="20"/>
          <w:szCs w:val="20"/>
          <w:color w:val="auto"/>
        </w:rPr>
      </w:pPr>
    </w:p>
    <w:p>
      <w:pPr>
        <w:ind w:left="660" w:right="439" w:hanging="326"/>
        <w:spacing w:after="0" w:line="264" w:lineRule="auto"/>
        <w:rPr>
          <w:sz w:val="20"/>
          <w:szCs w:val="20"/>
          <w:color w:val="auto"/>
        </w:rPr>
      </w:pPr>
      <w:r>
        <w:rPr>
          <w:rFonts w:ascii="Times New Roman" w:cs="Times New Roman" w:eastAsia="Times New Roman" w:hAnsi="Times New Roman"/>
          <w:sz w:val="14"/>
          <w:szCs w:val="14"/>
          <w:color w:val="auto"/>
        </w:rPr>
        <w:t>5.14 the Company and each party to the Relevant Agreements will at all relevant times remain, in compliance with all applicable anti-corruption, anti-money laundering, anti-terrorism, sanctions and human rights laws and regulations;</w:t>
      </w:r>
    </w:p>
    <w:p>
      <w:pPr>
        <w:spacing w:after="0" w:line="65" w:lineRule="exact"/>
        <w:rPr>
          <w:sz w:val="20"/>
          <w:szCs w:val="20"/>
          <w:color w:val="auto"/>
        </w:rPr>
      </w:pPr>
    </w:p>
    <w:p>
      <w:pPr>
        <w:ind w:left="660" w:right="359" w:hanging="326"/>
        <w:spacing w:after="0" w:line="250" w:lineRule="auto"/>
        <w:rPr>
          <w:sz w:val="20"/>
          <w:szCs w:val="20"/>
          <w:color w:val="auto"/>
        </w:rPr>
      </w:pPr>
      <w:r>
        <w:rPr>
          <w:rFonts w:ascii="Times New Roman" w:cs="Times New Roman" w:eastAsia="Times New Roman" w:hAnsi="Times New Roman"/>
          <w:sz w:val="14"/>
          <w:szCs w:val="14"/>
          <w:color w:val="auto"/>
        </w:rPr>
        <w:t>5.15 the Registration Statement and any required post-effective amendment thereto have become effective under the Securities Act and such effectiveness shall not have been terminated or rescinded prior to each Bring-Down Date, and the Base Prospectus has been filed with the SEC and any other appropriate prospectus supplement with respect to the Securities, as applicable, has been prepared, delivered and filed in compliance with the Securities Act and the rules and regulations thereunder prior to any issue of Securities;</w:t>
      </w:r>
    </w:p>
    <w:p>
      <w:pPr>
        <w:sectPr>
          <w:pgSz w:w="11900" w:h="16838" w:orient="portrait"/>
          <w:cols w:equalWidth="0" w:num="1">
            <w:col w:w="9019"/>
          </w:cols>
          <w:pgMar w:left="1440" w:top="239" w:right="1440" w:bottom="1440" w:gutter="0" w:footer="0" w:header="0"/>
        </w:sectPr>
      </w:pPr>
    </w:p>
    <w:bookmarkStart w:id="72" w:name="page73"/>
    <w:bookmarkEnd w:id="72"/>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Five</w:t>
      </w:r>
    </w:p>
    <w:p>
      <w:pPr>
        <w:spacing w:after="0" w:line="113" w:lineRule="exact"/>
        <w:rPr>
          <w:sz w:val="20"/>
          <w:szCs w:val="20"/>
          <w:color w:val="auto"/>
        </w:rPr>
      </w:pPr>
    </w:p>
    <w:p>
      <w:pPr>
        <w:ind w:left="660" w:right="399" w:hanging="326"/>
        <w:spacing w:after="0" w:line="247" w:lineRule="auto"/>
        <w:rPr>
          <w:sz w:val="20"/>
          <w:szCs w:val="20"/>
          <w:color w:val="auto"/>
        </w:rPr>
      </w:pPr>
      <w:r>
        <w:rPr>
          <w:rFonts w:ascii="Times New Roman" w:cs="Times New Roman" w:eastAsia="Times New Roman" w:hAnsi="Times New Roman"/>
          <w:sz w:val="14"/>
          <w:szCs w:val="14"/>
          <w:color w:val="auto"/>
        </w:rPr>
        <w:t>5.16 the resolutions set out in the Written Board Resolutions referred to in paragraph 2.5 (</w:t>
      </w:r>
      <w:r>
        <w:rPr>
          <w:rFonts w:ascii="Times New Roman" w:cs="Times New Roman" w:eastAsia="Times New Roman" w:hAnsi="Times New Roman"/>
          <w:sz w:val="14"/>
          <w:szCs w:val="14"/>
          <w:i w:val="1"/>
          <w:iCs w:val="1"/>
          <w:color w:val="auto"/>
        </w:rPr>
        <w:t>Documents</w:t>
      </w:r>
      <w:r>
        <w:rPr>
          <w:rFonts w:ascii="Times New Roman" w:cs="Times New Roman" w:eastAsia="Times New Roman" w:hAnsi="Times New Roman"/>
          <w:sz w:val="14"/>
          <w:szCs w:val="14"/>
          <w:color w:val="auto"/>
        </w:rPr>
        <w:t>) were validly passed as written resolutions in accordance with the Articles, that all eligible Directors of the Company (being all the Directors of the Company who would have been entitled to vote on the matter had it been proposed as a resolution at a Directors’ meeting, but excluding any Director whose vote is not to be counted in respect of a particular matter) have signed one or more copies of the Written Board Resolutions, that all relevant provisions of the Companies Act and the Articles, as applicable, were complied with and duly observed (including, if applicable, those relating to the declaration of Directors’ interests or the power of interested Directors to vote) and such resolutions were duly adopted, and have not been and will not be revoked or varied and remain in full force and effect as at the date of this letter and each Bring-Down Date;</w:t>
      </w:r>
    </w:p>
    <w:p>
      <w:pPr>
        <w:spacing w:after="0" w:line="78" w:lineRule="exact"/>
        <w:rPr>
          <w:sz w:val="20"/>
          <w:szCs w:val="20"/>
          <w:color w:val="auto"/>
        </w:rPr>
      </w:pPr>
    </w:p>
    <w:p>
      <w:pPr>
        <w:ind w:left="660" w:right="499" w:hanging="326"/>
        <w:spacing w:after="0" w:line="250" w:lineRule="auto"/>
        <w:rPr>
          <w:sz w:val="20"/>
          <w:szCs w:val="20"/>
          <w:color w:val="auto"/>
        </w:rPr>
      </w:pPr>
      <w:r>
        <w:rPr>
          <w:rFonts w:ascii="Times New Roman" w:cs="Times New Roman" w:eastAsia="Times New Roman" w:hAnsi="Times New Roman"/>
          <w:sz w:val="14"/>
          <w:szCs w:val="14"/>
          <w:color w:val="auto"/>
        </w:rPr>
        <w:t>5.17 the 2024 AGM was duly convened and held on 28 June 2024 at which all constitutional, statutory and other formalities were duly observed, a quorum of shareholders was present throughout and the Shareholder Resolutions were duly passed and have not been revoked or varied and remain in full force and effect and will remain so as at each Bring-Down Date, and that all filings required to be made with Companies House in connection therewith have been made within the relevant time limits;</w:t>
      </w:r>
    </w:p>
    <w:p>
      <w:pPr>
        <w:spacing w:after="0" w:line="75" w:lineRule="exact"/>
        <w:rPr>
          <w:sz w:val="20"/>
          <w:szCs w:val="20"/>
          <w:color w:val="auto"/>
        </w:rPr>
      </w:pPr>
    </w:p>
    <w:p>
      <w:pPr>
        <w:ind w:left="660" w:right="359" w:hanging="326"/>
        <w:spacing w:after="0" w:line="289" w:lineRule="auto"/>
        <w:rPr>
          <w:sz w:val="20"/>
          <w:szCs w:val="20"/>
          <w:color w:val="auto"/>
        </w:rPr>
      </w:pPr>
      <w:r>
        <w:rPr>
          <w:rFonts w:ascii="Times New Roman" w:cs="Times New Roman" w:eastAsia="Times New Roman" w:hAnsi="Times New Roman"/>
          <w:sz w:val="12"/>
          <w:szCs w:val="12"/>
          <w:color w:val="auto"/>
        </w:rPr>
        <w:t>5.18 the Securities contemplated to be offered under the Registration Statement and any relevant Prospectus will be allotted and issued (or in the case of convertible Debt Securities or Warrants the right to convert such security into, or subscribe for, Ordinary Shares will be granted) pursuant to the authority and power granted to the Directors pursuant to section 551 and section 570 of the Companies Act, respectively and as applicable, under the Shareholder Resolutions, and that that authority and that power are and shall remain unutilised to a sufficient extent to enable the allotment and issue of any Securities contemplated to be issued and/or rights to be granted pursuant to the Registration Statement and any relevant Prospectus, or in respect of any allotment and issue of Securities and/or grant of rights after such authorities have expired or been fully utilised or when resolutions have been passed in substitution for such authorities the Company in general meeting having duly and validly resolved (i) as an ordinary resolution to authorise the Board pursuant to section 551 of the Companies Act to allot the Ordinary Shares or grant rights to subscribe for or convert any security into the Ordinary Shares and (ii) as a special resolution to empower the Board pursuant to section 570 or 571 of the Companies Act to allot such Ordinary Shares and grant such rights (as applicable) free of the restrictions in section 561 of the Companies Act, and that the Directors shall not allot or issue (or purport to allot or issue) any Ordinary Shares and shall not grant rights (or purport to grant rights) to subscribe for any Ordinary Shares, or convert any security into Ordinary Shares, in excess of such authorities or powers or in breach of any other limitation on their authority or power to allot and issue shares or grant rights to subscribe for, or convert any security into, Ordinary Shares;</w:t>
      </w:r>
    </w:p>
    <w:p>
      <w:pPr>
        <w:spacing w:after="0" w:line="222" w:lineRule="exact"/>
        <w:rPr>
          <w:sz w:val="20"/>
          <w:szCs w:val="20"/>
          <w:color w:val="auto"/>
        </w:rPr>
      </w:pPr>
    </w:p>
    <w:p>
      <w:pPr>
        <w:ind w:left="660" w:right="399" w:hanging="326"/>
        <w:spacing w:after="0" w:line="250" w:lineRule="auto"/>
        <w:rPr>
          <w:sz w:val="20"/>
          <w:szCs w:val="20"/>
          <w:color w:val="auto"/>
        </w:rPr>
      </w:pPr>
      <w:r>
        <w:rPr>
          <w:rFonts w:ascii="Times New Roman" w:cs="Times New Roman" w:eastAsia="Times New Roman" w:hAnsi="Times New Roman"/>
          <w:sz w:val="14"/>
          <w:szCs w:val="14"/>
          <w:color w:val="auto"/>
        </w:rPr>
        <w:t>5.19 the ordinary and special resolutions referred to in paragraph 5.18 above will be passed at a general meeting of the Company duly convened and held at which all constitutional, statutory and other formalities will be duly observed, a quorum of shareholders will be present throughout and the relevant resolutions will be duly passed and will not have been revoked or varied and will remain in full force and effect, and that all filings required to be made with Companies House in connection therewith will have been made within the relevant time limits;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5.20 any issue of Securities shall have been duly approved by the Board in accordance with the Articles and the requirements of all applicable laws;</w:t>
      </w:r>
    </w:p>
    <w:p>
      <w:pPr>
        <w:spacing w:after="0" w:line="94" w:lineRule="exact"/>
        <w:rPr>
          <w:sz w:val="20"/>
          <w:szCs w:val="20"/>
          <w:color w:val="auto"/>
        </w:rPr>
      </w:pPr>
    </w:p>
    <w:p>
      <w:pPr>
        <w:ind w:left="660" w:right="519" w:hanging="326"/>
        <w:spacing w:after="0" w:line="264" w:lineRule="auto"/>
        <w:rPr>
          <w:sz w:val="20"/>
          <w:szCs w:val="20"/>
          <w:color w:val="auto"/>
        </w:rPr>
      </w:pPr>
      <w:r>
        <w:rPr>
          <w:rFonts w:ascii="Times New Roman" w:cs="Times New Roman" w:eastAsia="Times New Roman" w:hAnsi="Times New Roman"/>
          <w:sz w:val="14"/>
          <w:szCs w:val="14"/>
          <w:color w:val="auto"/>
        </w:rPr>
        <w:t>5.21 all Ordinary Shares will be duly allotted by the Board and any Debt Security convertible into Ordinary Shares or Warrants to purchase Ordinary Shares will be duly issued by the Board in accordance with the Articles and the requirements of all applicable laws;</w:t>
      </w:r>
    </w:p>
    <w:p>
      <w:pPr>
        <w:sectPr>
          <w:pgSz w:w="11900" w:h="16838" w:orient="portrait"/>
          <w:cols w:equalWidth="0" w:num="1">
            <w:col w:w="9019"/>
          </w:cols>
          <w:pgMar w:left="1440" w:top="239" w:right="1440"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Six</w:t>
      </w:r>
    </w:p>
    <w:p>
      <w:pPr>
        <w:spacing w:after="0" w:line="115" w:lineRule="exact"/>
        <w:rPr>
          <w:sz w:val="20"/>
          <w:szCs w:val="20"/>
          <w:color w:val="auto"/>
        </w:rPr>
      </w:pPr>
    </w:p>
    <w:p>
      <w:pPr>
        <w:ind w:left="660" w:right="359" w:hanging="326"/>
        <w:spacing w:after="0" w:line="292" w:lineRule="auto"/>
        <w:rPr>
          <w:sz w:val="20"/>
          <w:szCs w:val="20"/>
          <w:color w:val="auto"/>
        </w:rPr>
      </w:pPr>
      <w:r>
        <w:rPr>
          <w:rFonts w:ascii="Times New Roman" w:cs="Times New Roman" w:eastAsia="Times New Roman" w:hAnsi="Times New Roman"/>
          <w:sz w:val="12"/>
          <w:szCs w:val="12"/>
          <w:color w:val="auto"/>
        </w:rPr>
        <w:t>5.22 the resolutions of the Board referred to in paragraphs 5.20 and 5.21 above (i) will be passed at a duly constituted and convened meeting of the Board and all constitutional, statutory and other formalities will be duly observed (including, if applicable, those relating to the declaration of Directors’ interests or the power of interested Directors to vote), a quorum will be present throughout, the requisite majority of Directors will vote in favour of approving the resolutions and the resolutions passed at that meeting of the Board will be duly adopted, will not have been revoked or varied and will remain in full force and effect; and/or (ii) will be validly passed as written resolutions in accordance with the Articles, that all eligible Directors of the Company (being all the Directors of the Company who would have been entitled to vote on the matter had it been proposed as a resolution at a Directors’ meeting, but excluding any Director whose vote is not to be counted in respect of a particular matter) will sign one or more copies of the written resolutions, that all relevant provisions of the Companies Act and the Articles will be complied with and the Articles will be duly observed (including, if applicable, those relating to the declaration of the Directors’ interests or the power of interested Directors to vote) and such resolutions will be duly adopted, will not have been revoked or varied and will remain in full force and effect;</w:t>
      </w:r>
    </w:p>
    <w:p>
      <w:pPr>
        <w:spacing w:after="0" w:line="215" w:lineRule="exact"/>
        <w:rPr>
          <w:sz w:val="20"/>
          <w:szCs w:val="20"/>
          <w:color w:val="auto"/>
        </w:rPr>
      </w:pPr>
    </w:p>
    <w:p>
      <w:pPr>
        <w:ind w:left="660" w:right="479" w:hanging="326"/>
        <w:spacing w:after="0" w:line="254" w:lineRule="auto"/>
        <w:rPr>
          <w:sz w:val="20"/>
          <w:szCs w:val="20"/>
          <w:color w:val="auto"/>
        </w:rPr>
      </w:pPr>
      <w:r>
        <w:rPr>
          <w:rFonts w:ascii="Times New Roman" w:cs="Times New Roman" w:eastAsia="Times New Roman" w:hAnsi="Times New Roman"/>
          <w:sz w:val="14"/>
          <w:szCs w:val="14"/>
          <w:color w:val="auto"/>
        </w:rPr>
        <w:t>5.23 no Ordinary Shares will be allotted or issued, or are or shall be committed to be allotted and issued, at a discount to their nominal value (whether in dollars or equivalent in any other currency) and no Warrants shall be issued with an exercise price, or convertible Debt Securities with a conversion price, of less than the nominal value per Ordinary Share, as applicable;</w:t>
      </w:r>
    </w:p>
    <w:p>
      <w:pPr>
        <w:spacing w:after="0" w:line="71" w:lineRule="exact"/>
        <w:rPr>
          <w:sz w:val="20"/>
          <w:szCs w:val="20"/>
          <w:color w:val="auto"/>
        </w:rPr>
      </w:pPr>
    </w:p>
    <w:p>
      <w:pPr>
        <w:jc w:val="both"/>
        <w:ind w:left="660" w:right="439" w:hanging="326"/>
        <w:spacing w:after="0" w:line="254" w:lineRule="auto"/>
        <w:rPr>
          <w:sz w:val="20"/>
          <w:szCs w:val="20"/>
          <w:color w:val="auto"/>
        </w:rPr>
      </w:pPr>
      <w:r>
        <w:rPr>
          <w:rFonts w:ascii="Times New Roman" w:cs="Times New Roman" w:eastAsia="Times New Roman" w:hAnsi="Times New Roman"/>
          <w:sz w:val="14"/>
          <w:szCs w:val="14"/>
          <w:color w:val="auto"/>
        </w:rPr>
        <w:t>5.24 the contents of the Secretary’s Certificate were true and not misleading when given and remain true and not misleading as at the date of this letter and there is no fact or matter not referred to in the Secretary’s Certificate which would make any of the information in the Secretary’s Certificate inaccurate or misleading;</w:t>
      </w:r>
    </w:p>
    <w:p>
      <w:pPr>
        <w:spacing w:after="0" w:line="71" w:lineRule="exact"/>
        <w:rPr>
          <w:sz w:val="20"/>
          <w:szCs w:val="20"/>
          <w:color w:val="auto"/>
        </w:rPr>
      </w:pPr>
    </w:p>
    <w:p>
      <w:pPr>
        <w:ind w:left="660" w:right="379" w:hanging="326"/>
        <w:spacing w:after="0" w:line="248" w:lineRule="auto"/>
        <w:rPr>
          <w:sz w:val="20"/>
          <w:szCs w:val="20"/>
          <w:color w:val="auto"/>
        </w:rPr>
      </w:pPr>
      <w:r>
        <w:rPr>
          <w:rFonts w:ascii="Times New Roman" w:cs="Times New Roman" w:eastAsia="Times New Roman" w:hAnsi="Times New Roman"/>
          <w:sz w:val="14"/>
          <w:szCs w:val="14"/>
          <w:color w:val="auto"/>
        </w:rPr>
        <w:t>5.25 at the time of each allotment and issue of Ordinary Shares, the Company shall have received in full payment for such shares in an amount of “cash consideration” (as defined in section 583(3) of the Companies Act) equal to the aggregate subscription price for such shares, such amount not being less than the aggregate nominal value for such shares, and the Company shall have entered the holder or holders thereof in the register of members of the Company showing that all such shares have been fully paid up as to their nominal value and any premium thereon as at the date of each such allotment;</w:t>
      </w:r>
    </w:p>
    <w:p>
      <w:pPr>
        <w:spacing w:after="0" w:line="77" w:lineRule="exact"/>
        <w:rPr>
          <w:sz w:val="20"/>
          <w:szCs w:val="20"/>
          <w:color w:val="auto"/>
        </w:rPr>
      </w:pPr>
    </w:p>
    <w:p>
      <w:pPr>
        <w:jc w:val="both"/>
        <w:ind w:left="660" w:right="579" w:hanging="326"/>
        <w:spacing w:after="0" w:line="254" w:lineRule="auto"/>
        <w:rPr>
          <w:sz w:val="20"/>
          <w:szCs w:val="20"/>
          <w:color w:val="auto"/>
        </w:rPr>
      </w:pPr>
      <w:r>
        <w:rPr>
          <w:rFonts w:ascii="Times New Roman" w:cs="Times New Roman" w:eastAsia="Times New Roman" w:hAnsi="Times New Roman"/>
          <w:sz w:val="14"/>
          <w:szCs w:val="14"/>
          <w:color w:val="auto"/>
        </w:rPr>
        <w:t>5.26 any right to purchase Ordinary Shares or to convert or exchange any Securities into Ordinary Shares will be exercised, and Ordinary Shares to which holders of Securities are entitled thereupon will be allotted and issued, in accordance with the terms of the Relevant Agreements and the relevant Securities;</w:t>
      </w:r>
    </w:p>
    <w:p>
      <w:pPr>
        <w:spacing w:after="0" w:line="71" w:lineRule="exact"/>
        <w:rPr>
          <w:sz w:val="20"/>
          <w:szCs w:val="20"/>
          <w:color w:val="auto"/>
        </w:rPr>
      </w:pPr>
    </w:p>
    <w:p>
      <w:pPr>
        <w:ind w:left="660" w:right="479" w:hanging="326"/>
        <w:spacing w:after="0" w:line="250" w:lineRule="auto"/>
        <w:rPr>
          <w:sz w:val="20"/>
          <w:szCs w:val="20"/>
          <w:color w:val="auto"/>
        </w:rPr>
      </w:pPr>
      <w:r>
        <w:rPr>
          <w:rFonts w:ascii="Times New Roman" w:cs="Times New Roman" w:eastAsia="Times New Roman" w:hAnsi="Times New Roman"/>
          <w:sz w:val="14"/>
          <w:szCs w:val="14"/>
          <w:color w:val="auto"/>
        </w:rPr>
        <w:t>5.27 any convertible Debt Securities or Warrants, when issued, will be accurately and properly completed, duly authorised, executed and delivered on behalf of the Company and authenticated, issued and paid for and registered in the register of holders of those convertible Debt Securities or Warrants maintained for this purpose, in each case in accordance with the instruments and/or agreements constituting those convertible Debt Securities or Warrants, the Articles and all applicable laws (for the avoidance of doubt, as in force at all relevant times);</w:t>
      </w:r>
    </w:p>
    <w:p>
      <w:pPr>
        <w:spacing w:after="0" w:line="75" w:lineRule="exact"/>
        <w:rPr>
          <w:sz w:val="20"/>
          <w:szCs w:val="20"/>
          <w:color w:val="auto"/>
        </w:rPr>
      </w:pPr>
    </w:p>
    <w:p>
      <w:pPr>
        <w:ind w:left="660" w:right="539" w:hanging="326"/>
        <w:spacing w:after="0" w:line="349" w:lineRule="auto"/>
        <w:rPr>
          <w:sz w:val="20"/>
          <w:szCs w:val="20"/>
          <w:color w:val="auto"/>
        </w:rPr>
      </w:pPr>
      <w:r>
        <w:rPr>
          <w:rFonts w:ascii="Times New Roman" w:cs="Times New Roman" w:eastAsia="Times New Roman" w:hAnsi="Times New Roman"/>
          <w:sz w:val="12"/>
          <w:szCs w:val="12"/>
          <w:color w:val="auto"/>
        </w:rPr>
        <w:t>5.28 the instruments and/or agreements constituting any convertible Debt Securities or Warrants, and the obligations created by them, will constitute the legal, valid, binding and enforceable obligations of each of the parties to them under the laws by which they are expressed to be governed;</w:t>
      </w:r>
    </w:p>
    <w:p>
      <w:pPr>
        <w:spacing w:after="0" w:line="17" w:lineRule="exact"/>
        <w:rPr>
          <w:sz w:val="20"/>
          <w:szCs w:val="20"/>
          <w:color w:val="auto"/>
        </w:rPr>
      </w:pPr>
    </w:p>
    <w:p>
      <w:pPr>
        <w:ind w:left="660" w:right="419" w:hanging="326"/>
        <w:spacing w:after="0" w:line="254" w:lineRule="auto"/>
        <w:rPr>
          <w:sz w:val="20"/>
          <w:szCs w:val="20"/>
          <w:color w:val="auto"/>
        </w:rPr>
      </w:pPr>
      <w:r>
        <w:rPr>
          <w:rFonts w:ascii="Times New Roman" w:cs="Times New Roman" w:eastAsia="Times New Roman" w:hAnsi="Times New Roman"/>
          <w:sz w:val="14"/>
          <w:szCs w:val="14"/>
          <w:color w:val="auto"/>
        </w:rPr>
        <w:t>5.29 the right to convert or exchange any convertible Debt Securities or Warrants into, or to purchase, Ordinary Shares will be exercised, and Ordinary Shares to which the holders of any convertible Debt Securities or Warrants are entitled thereupon will be allotted and issued, in accordance with the terms of the relevant convertible Debt Securities or Warrants;</w:t>
      </w:r>
    </w:p>
    <w:p>
      <w:pPr>
        <w:spacing w:after="0" w:line="71" w:lineRule="exact"/>
        <w:rPr>
          <w:sz w:val="20"/>
          <w:szCs w:val="20"/>
          <w:color w:val="auto"/>
        </w:rPr>
      </w:pPr>
    </w:p>
    <w:p>
      <w:pPr>
        <w:ind w:left="660" w:right="459" w:hanging="326"/>
        <w:spacing w:after="0" w:line="250" w:lineRule="auto"/>
        <w:rPr>
          <w:sz w:val="20"/>
          <w:szCs w:val="20"/>
          <w:color w:val="auto"/>
        </w:rPr>
      </w:pPr>
      <w:r>
        <w:rPr>
          <w:rFonts w:ascii="Times New Roman" w:cs="Times New Roman" w:eastAsia="Times New Roman" w:hAnsi="Times New Roman"/>
          <w:sz w:val="14"/>
          <w:szCs w:val="14"/>
          <w:color w:val="auto"/>
        </w:rPr>
        <w:t>5.30 there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which might affect the allotment and issue of any Securities that may be issued pursuant to the Registration Statement and any relevant Prospectus;</w:t>
      </w:r>
    </w:p>
    <w:p>
      <w:pPr>
        <w:sectPr>
          <w:pgSz w:w="11900" w:h="16838" w:orient="portrait"/>
          <w:cols w:equalWidth="0" w:num="1">
            <w:col w:w="9019"/>
          </w:cols>
          <w:pgMar w:left="1440" w:top="239" w:right="1440"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Seven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5.31 the Company has not taken any corporate or other action and no steps have been taken or legal proceedings have been started against the Company</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for the liquidation, winding-up, dissolution, reorganisation or bankruptcy of, or for the appointment of a liquidator, receiver, trustee, administrator,</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administrative receiver or similar officer of, the Company or all or any of its assets (or any analogous proceedings in any jurisdiction) and the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Company is not unable to pay its debts as they fall due within the meaning of section 123 of the Insolvency Act 1986, as amended (the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Insolvency Act</w:t>
      </w:r>
      <w:r>
        <w:rPr>
          <w:rFonts w:ascii="Times New Roman" w:cs="Times New Roman" w:eastAsia="Times New Roman" w:hAnsi="Times New Roman"/>
          <w:sz w:val="12"/>
          <w:szCs w:val="12"/>
          <w:color w:val="auto"/>
        </w:rPr>
        <w:t>”) or becomes unable to pay its debts within the meaning of that section as a result of any of the transactions contemplated in this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letter, is insolvent or has been dissolved or declared bankrupt;</w:t>
      </w:r>
    </w:p>
    <w:p>
      <w:pPr>
        <w:spacing w:after="0" w:line="82" w:lineRule="exact"/>
        <w:rPr>
          <w:sz w:val="20"/>
          <w:szCs w:val="20"/>
          <w:color w:val="auto"/>
        </w:rPr>
      </w:pPr>
    </w:p>
    <w:p>
      <w:pPr>
        <w:ind w:left="660" w:right="559" w:hanging="326"/>
        <w:spacing w:after="0" w:line="264" w:lineRule="auto"/>
        <w:rPr>
          <w:sz w:val="20"/>
          <w:szCs w:val="20"/>
          <w:color w:val="auto"/>
        </w:rPr>
      </w:pPr>
      <w:r>
        <w:rPr>
          <w:rFonts w:ascii="Times New Roman" w:cs="Times New Roman" w:eastAsia="Times New Roman" w:hAnsi="Times New Roman"/>
          <w:sz w:val="14"/>
          <w:szCs w:val="14"/>
          <w:color w:val="auto"/>
        </w:rPr>
        <w:t>5.32 all agreements and documents examined by us that are governed by the laws of any jurisdiction other than England are on the date of this letter legal, valid and binding under the laws by which they are (or are expected to be) governed;</w:t>
      </w:r>
    </w:p>
    <w:p>
      <w:pPr>
        <w:spacing w:after="0" w:line="65" w:lineRule="exact"/>
        <w:rPr>
          <w:sz w:val="20"/>
          <w:szCs w:val="20"/>
          <w:color w:val="auto"/>
        </w:rPr>
      </w:pPr>
    </w:p>
    <w:p>
      <w:pPr>
        <w:ind w:left="660" w:right="479" w:hanging="326"/>
        <w:spacing w:after="0" w:line="254" w:lineRule="auto"/>
        <w:rPr>
          <w:sz w:val="20"/>
          <w:szCs w:val="20"/>
          <w:color w:val="auto"/>
        </w:rPr>
      </w:pPr>
      <w:r>
        <w:rPr>
          <w:rFonts w:ascii="Times New Roman" w:cs="Times New Roman" w:eastAsia="Times New Roman" w:hAnsi="Times New Roman"/>
          <w:sz w:val="14"/>
          <w:szCs w:val="14"/>
          <w:color w:val="auto"/>
        </w:rPr>
        <w:t>5.33 there are no provisions of the laws of any jurisdiction outside England that would have any implication for the opinions which we express in this letter and that, insofar as the laws of any jurisdiction outside England may be relevant to this letter, such laws have been and will be complied with;</w:t>
      </w:r>
    </w:p>
    <w:p>
      <w:pPr>
        <w:spacing w:after="0" w:line="71" w:lineRule="exact"/>
        <w:rPr>
          <w:sz w:val="20"/>
          <w:szCs w:val="20"/>
          <w:color w:val="auto"/>
        </w:rPr>
      </w:pPr>
    </w:p>
    <w:p>
      <w:pPr>
        <w:ind w:left="660" w:right="379" w:hanging="326"/>
        <w:spacing w:after="0" w:line="292" w:lineRule="auto"/>
        <w:rPr>
          <w:sz w:val="20"/>
          <w:szCs w:val="20"/>
          <w:color w:val="auto"/>
        </w:rPr>
      </w:pPr>
      <w:r>
        <w:rPr>
          <w:rFonts w:ascii="Times New Roman" w:cs="Times New Roman" w:eastAsia="Times New Roman" w:hAnsi="Times New Roman"/>
          <w:sz w:val="12"/>
          <w:szCs w:val="12"/>
          <w:color w:val="auto"/>
        </w:rPr>
        <w:t>5.34 we note that the Indenture and the Warrant Agreements provide that they are to be governed by and construed in accordance with the laws of the State of New York. We express no opinion as to any matters governed by the laws of the State of New York. As lawyers not qualified in New York, we are not qualified or able to assess the true meaning or import of the terms of the Indenture and the Warrant Agreements under the laws of the State of New York, and we have made no investigation of such meaning or import. Therefore, our review of the Indenture and the Warrant Agreements has been limited to their terms as they appear to us on their face. We have assumed that the choice of the laws of the State of New York in the Indenture and the Warrant Agreements is valid as a matter of the laws of the State of New York and the Indenture and the Warrant Agreements and each of their respective provisions are valid, binding and enforceable under the laws of the State of New York and the law of any other jurisdiction whose law applies, other than law covered expressly in an opinion included in this letter. We have also assumed that, under the laws of the State of New York, any court named in the forum selection clauses of the Indenture and the Warrant Agreements will have jurisdiction over the parties and the subject matter of any action brought in that court under the Indenture and the Warrant Agreements;</w:t>
      </w:r>
    </w:p>
    <w:p>
      <w:pPr>
        <w:spacing w:after="0" w:line="215" w:lineRule="exact"/>
        <w:rPr>
          <w:sz w:val="20"/>
          <w:szCs w:val="20"/>
          <w:color w:val="auto"/>
        </w:rPr>
      </w:pPr>
    </w:p>
    <w:p>
      <w:pPr>
        <w:ind w:left="660" w:right="539" w:hanging="326"/>
        <w:spacing w:after="0" w:line="250" w:lineRule="auto"/>
        <w:rPr>
          <w:sz w:val="20"/>
          <w:szCs w:val="20"/>
          <w:color w:val="auto"/>
        </w:rPr>
      </w:pPr>
      <w:r>
        <w:rPr>
          <w:rFonts w:ascii="Times New Roman" w:cs="Times New Roman" w:eastAsia="Times New Roman" w:hAnsi="Times New Roman"/>
          <w:sz w:val="14"/>
          <w:szCs w:val="14"/>
          <w:color w:val="auto"/>
        </w:rPr>
        <w:t>5.35 all statements of fact and representations and warranties as to matters of fact (except as to matters expressly set out in the opinions given in this letter) contained in or made in connection with any of the documents examined by us were true and correct as at the date given and are true and correct at today’s date and no fact was omitted therefrom which would have made any of such facts, representations or warranties incorrect or misleading;</w:t>
      </w:r>
    </w:p>
    <w:p>
      <w:pPr>
        <w:spacing w:after="0" w:line="75" w:lineRule="exact"/>
        <w:rPr>
          <w:sz w:val="20"/>
          <w:szCs w:val="20"/>
          <w:color w:val="auto"/>
        </w:rPr>
      </w:pPr>
    </w:p>
    <w:p>
      <w:pPr>
        <w:ind w:left="660" w:right="379" w:hanging="326"/>
        <w:spacing w:after="0" w:line="254" w:lineRule="auto"/>
        <w:rPr>
          <w:sz w:val="20"/>
          <w:szCs w:val="20"/>
          <w:color w:val="auto"/>
        </w:rPr>
      </w:pPr>
      <w:r>
        <w:rPr>
          <w:rFonts w:ascii="Times New Roman" w:cs="Times New Roman" w:eastAsia="Times New Roman" w:hAnsi="Times New Roman"/>
          <w:sz w:val="14"/>
          <w:szCs w:val="14"/>
          <w:color w:val="auto"/>
        </w:rPr>
        <w:t>5.36 all consents, licences, approvals, authorisations, notices, filings and registrations that are necessary under any applicable laws or regulations in connection with the transactions contemplated by the Registration Statement have been or will be duly made or obtained and are, or will be, in full force and effect;</w:t>
      </w:r>
    </w:p>
    <w:p>
      <w:pPr>
        <w:spacing w:after="0" w:line="71" w:lineRule="exact"/>
        <w:rPr>
          <w:sz w:val="20"/>
          <w:szCs w:val="20"/>
          <w:color w:val="auto"/>
        </w:rPr>
      </w:pPr>
    </w:p>
    <w:p>
      <w:pPr>
        <w:ind w:left="660" w:right="459" w:hanging="326"/>
        <w:spacing w:after="0" w:line="247" w:lineRule="auto"/>
        <w:rPr>
          <w:sz w:val="20"/>
          <w:szCs w:val="20"/>
          <w:color w:val="auto"/>
        </w:rPr>
      </w:pPr>
      <w:r>
        <w:rPr>
          <w:rFonts w:ascii="Times New Roman" w:cs="Times New Roman" w:eastAsia="Times New Roman" w:hAnsi="Times New Roman"/>
          <w:sz w:val="14"/>
          <w:szCs w:val="14"/>
          <w:color w:val="auto"/>
        </w:rPr>
        <w:t>5.37 no Securities have been or shall be offered to the public in the United Kingdom in breach of the Financial Services and Markets Act 2000, as amended (the “</w:t>
      </w:r>
      <w:r>
        <w:rPr>
          <w:rFonts w:ascii="Times New Roman" w:cs="Times New Roman" w:eastAsia="Times New Roman" w:hAnsi="Times New Roman"/>
          <w:sz w:val="14"/>
          <w:szCs w:val="14"/>
          <w:b w:val="1"/>
          <w:bCs w:val="1"/>
          <w:color w:val="auto"/>
        </w:rPr>
        <w:t>FSMA</w:t>
      </w:r>
      <w:r>
        <w:rPr>
          <w:rFonts w:ascii="Times New Roman" w:cs="Times New Roman" w:eastAsia="Times New Roman" w:hAnsi="Times New Roman"/>
          <w:sz w:val="14"/>
          <w:szCs w:val="14"/>
          <w:color w:val="auto"/>
        </w:rPr>
        <w:t>”), the Public Offers and Admissions to Trading Regulations 2024 (the “</w:t>
      </w:r>
      <w:r>
        <w:rPr>
          <w:rFonts w:ascii="Times New Roman" w:cs="Times New Roman" w:eastAsia="Times New Roman" w:hAnsi="Times New Roman"/>
          <w:sz w:val="14"/>
          <w:szCs w:val="14"/>
          <w:b w:val="1"/>
          <w:bCs w:val="1"/>
          <w:color w:val="auto"/>
        </w:rPr>
        <w:t>POATRs</w:t>
      </w:r>
      <w:r>
        <w:rPr>
          <w:rFonts w:ascii="Times New Roman" w:cs="Times New Roman" w:eastAsia="Times New Roman" w:hAnsi="Times New Roman"/>
          <w:sz w:val="14"/>
          <w:szCs w:val="14"/>
          <w:color w:val="auto"/>
        </w:rPr>
        <w:t>”) and the Financial Conduct Authority’s Prospectus Rules: Admission to Trading on a Regulated Market sourcebook (the “</w:t>
      </w:r>
      <w:r>
        <w:rPr>
          <w:rFonts w:ascii="Times New Roman" w:cs="Times New Roman" w:eastAsia="Times New Roman" w:hAnsi="Times New Roman"/>
          <w:sz w:val="14"/>
          <w:szCs w:val="14"/>
          <w:b w:val="1"/>
          <w:bCs w:val="1"/>
          <w:color w:val="auto"/>
        </w:rPr>
        <w:t>PRM</w:t>
      </w:r>
      <w:r>
        <w:rPr>
          <w:rFonts w:ascii="Times New Roman" w:cs="Times New Roman" w:eastAsia="Times New Roman" w:hAnsi="Times New Roman"/>
          <w:sz w:val="14"/>
          <w:szCs w:val="14"/>
          <w:color w:val="auto"/>
        </w:rPr>
        <w:t>”) or of any other United Kingdom laws or regulations concerning offers of securities to the public, and no communication has been or shall be made in relation to the Securities in breach of section 21 (Restrictions on financial promotion) of the FSMA or any other United Kingdom laws or regulations relating to offers or invitations to subscribe for, or to acquire rights to subscribe for or otherwise acquire, shares or other securities;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5.38 in issuing the Securities, the Company is not carrying on a regulated activity for the purposes of section 19 of FSMA;</w:t>
      </w:r>
    </w:p>
    <w:p>
      <w:pPr>
        <w:sectPr>
          <w:pgSz w:w="11900" w:h="16838" w:orient="portrait"/>
          <w:cols w:equalWidth="0" w:num="1">
            <w:col w:w="9019"/>
          </w:cols>
          <w:pgMar w:left="1440" w:top="239" w:right="1440"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Eight</w:t>
      </w:r>
    </w:p>
    <w:p>
      <w:pPr>
        <w:spacing w:after="0" w:line="115" w:lineRule="exact"/>
        <w:rPr>
          <w:sz w:val="20"/>
          <w:szCs w:val="20"/>
          <w:color w:val="auto"/>
        </w:rPr>
      </w:pPr>
    </w:p>
    <w:p>
      <w:pPr>
        <w:ind w:left="660" w:right="399" w:hanging="326"/>
        <w:spacing w:after="0" w:line="246" w:lineRule="auto"/>
        <w:rPr>
          <w:sz w:val="20"/>
          <w:szCs w:val="20"/>
          <w:color w:val="auto"/>
        </w:rPr>
      </w:pPr>
      <w:r>
        <w:rPr>
          <w:rFonts w:ascii="Times New Roman" w:cs="Times New Roman" w:eastAsia="Times New Roman" w:hAnsi="Times New Roman"/>
          <w:sz w:val="14"/>
          <w:szCs w:val="14"/>
          <w:color w:val="auto"/>
        </w:rPr>
        <w:t>5.39 all applicable provisions of the EU Market Abuse Regulation (Regulation (EU) No 596/2014) as it forms part of domestic law in the United Kingdom by virtue of the Withdrawal Act (“</w:t>
      </w:r>
      <w:r>
        <w:rPr>
          <w:rFonts w:ascii="Times New Roman" w:cs="Times New Roman" w:eastAsia="Times New Roman" w:hAnsi="Times New Roman"/>
          <w:sz w:val="14"/>
          <w:szCs w:val="14"/>
          <w:b w:val="1"/>
          <w:bCs w:val="1"/>
          <w:color w:val="auto"/>
        </w:rPr>
        <w:t>UK MAR</w:t>
      </w:r>
      <w:r>
        <w:rPr>
          <w:rFonts w:ascii="Times New Roman" w:cs="Times New Roman" w:eastAsia="Times New Roman" w:hAnsi="Times New Roman"/>
          <w:sz w:val="14"/>
          <w:szCs w:val="14"/>
          <w:color w:val="auto"/>
        </w:rPr>
        <w:t>”), the POATRs, the PRM, the FSMA, the Financial Services Act 2012 (the “</w:t>
      </w:r>
      <w:r>
        <w:rPr>
          <w:rFonts w:ascii="Times New Roman" w:cs="Times New Roman" w:eastAsia="Times New Roman" w:hAnsi="Times New Roman"/>
          <w:sz w:val="14"/>
          <w:szCs w:val="14"/>
          <w:b w:val="1"/>
          <w:bCs w:val="1"/>
          <w:color w:val="auto"/>
        </w:rPr>
        <w:t>FS Act</w:t>
      </w:r>
      <w:r>
        <w:rPr>
          <w:rFonts w:ascii="Times New Roman" w:cs="Times New Roman" w:eastAsia="Times New Roman" w:hAnsi="Times New Roman"/>
          <w:sz w:val="14"/>
          <w:szCs w:val="14"/>
          <w:color w:val="auto"/>
        </w:rPr>
        <w:t>”), and all rules and regulations made pursuant to UK MAR, the POATRs, the PRM, the FSMA and the FS Act, have been and will be complied with as regards anything done in relation to the Securities or otherwise in relation to the Registration Statement and any relevant Prospectus and the transactions contemplated thereby in, from or otherwise involving England (including, without limitation, articles 14 (</w:t>
      </w:r>
      <w:r>
        <w:rPr>
          <w:rFonts w:ascii="Times New Roman" w:cs="Times New Roman" w:eastAsia="Times New Roman" w:hAnsi="Times New Roman"/>
          <w:sz w:val="14"/>
          <w:szCs w:val="14"/>
          <w:i w:val="1"/>
          <w:iCs w:val="1"/>
          <w:color w:val="auto"/>
        </w:rPr>
        <w:t>Prohibition of insider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dealing and of unlawful disclosure of inside information</w:t>
      </w:r>
      <w:r>
        <w:rPr>
          <w:rFonts w:ascii="Times New Roman" w:cs="Times New Roman" w:eastAsia="Times New Roman" w:hAnsi="Times New Roman"/>
          <w:sz w:val="14"/>
          <w:szCs w:val="14"/>
          <w:color w:val="auto"/>
        </w:rPr>
        <w:t>) and 15 (</w:t>
      </w:r>
      <w:r>
        <w:rPr>
          <w:rFonts w:ascii="Times New Roman" w:cs="Times New Roman" w:eastAsia="Times New Roman" w:hAnsi="Times New Roman"/>
          <w:sz w:val="14"/>
          <w:szCs w:val="14"/>
          <w:i w:val="1"/>
          <w:iCs w:val="1"/>
          <w:color w:val="auto"/>
        </w:rPr>
        <w:t>Prohibition of market manipulation</w:t>
      </w:r>
      <w:r>
        <w:rPr>
          <w:rFonts w:ascii="Times New Roman" w:cs="Times New Roman" w:eastAsia="Times New Roman" w:hAnsi="Times New Roman"/>
          <w:sz w:val="14"/>
          <w:szCs w:val="14"/>
          <w:color w:val="auto"/>
        </w:rPr>
        <w:t>) of UK MAR, sections 19 (</w:t>
      </w:r>
      <w:r>
        <w:rPr>
          <w:rFonts w:ascii="Times New Roman" w:cs="Times New Roman" w:eastAsia="Times New Roman" w:hAnsi="Times New Roman"/>
          <w:sz w:val="14"/>
          <w:szCs w:val="14"/>
          <w:i w:val="1"/>
          <w:iCs w:val="1"/>
          <w:color w:val="auto"/>
        </w:rPr>
        <w:t>The general prohibition</w:t>
      </w:r>
      <w:r>
        <w:rPr>
          <w:rFonts w:ascii="Times New Roman" w:cs="Times New Roman" w:eastAsia="Times New Roman" w:hAnsi="Times New Roman"/>
          <w:sz w:val="14"/>
          <w:szCs w:val="14"/>
          <w:color w:val="auto"/>
        </w:rPr>
        <w:t>) and 21 (</w:t>
      </w:r>
      <w:r>
        <w:rPr>
          <w:rFonts w:ascii="Times New Roman" w:cs="Times New Roman" w:eastAsia="Times New Roman" w:hAnsi="Times New Roman"/>
          <w:sz w:val="14"/>
          <w:szCs w:val="14"/>
          <w:i w:val="1"/>
          <w:iCs w:val="1"/>
          <w:color w:val="auto"/>
        </w:rPr>
        <w:t>Restrictions on financial promotion</w:t>
      </w:r>
      <w:r>
        <w:rPr>
          <w:rFonts w:ascii="Times New Roman" w:cs="Times New Roman" w:eastAsia="Times New Roman" w:hAnsi="Times New Roman"/>
          <w:sz w:val="14"/>
          <w:szCs w:val="14"/>
          <w:color w:val="auto"/>
        </w:rPr>
        <w:t>) of the FSMA and sections 89 (</w:t>
      </w:r>
      <w:r>
        <w:rPr>
          <w:rFonts w:ascii="Times New Roman" w:cs="Times New Roman" w:eastAsia="Times New Roman" w:hAnsi="Times New Roman"/>
          <w:sz w:val="14"/>
          <w:szCs w:val="14"/>
          <w:i w:val="1"/>
          <w:iCs w:val="1"/>
          <w:color w:val="auto"/>
        </w:rPr>
        <w:t>Misleading statements</w:t>
      </w:r>
      <w:r>
        <w:rPr>
          <w:rFonts w:ascii="Times New Roman" w:cs="Times New Roman" w:eastAsia="Times New Roman" w:hAnsi="Times New Roman"/>
          <w:sz w:val="14"/>
          <w:szCs w:val="14"/>
          <w:color w:val="auto"/>
        </w:rPr>
        <w:t>), 90 (</w:t>
      </w:r>
      <w:r>
        <w:rPr>
          <w:rFonts w:ascii="Times New Roman" w:cs="Times New Roman" w:eastAsia="Times New Roman" w:hAnsi="Times New Roman"/>
          <w:sz w:val="14"/>
          <w:szCs w:val="14"/>
          <w:i w:val="1"/>
          <w:iCs w:val="1"/>
          <w:color w:val="auto"/>
        </w:rPr>
        <w:t>Misleading impressions</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91 (</w:t>
      </w:r>
      <w:r>
        <w:rPr>
          <w:rFonts w:ascii="Times New Roman" w:cs="Times New Roman" w:eastAsia="Times New Roman" w:hAnsi="Times New Roman"/>
          <w:sz w:val="14"/>
          <w:szCs w:val="14"/>
          <w:i w:val="1"/>
          <w:iCs w:val="1"/>
          <w:color w:val="auto"/>
        </w:rPr>
        <w:t>Misleading statements etc. in relation to benchmarks</w:t>
      </w:r>
      <w:r>
        <w:rPr>
          <w:rFonts w:ascii="Times New Roman" w:cs="Times New Roman" w:eastAsia="Times New Roman" w:hAnsi="Times New Roman"/>
          <w:sz w:val="14"/>
          <w:szCs w:val="14"/>
          <w:color w:val="auto"/>
        </w:rPr>
        <w:t>) of the FS Act);</w:t>
      </w:r>
    </w:p>
    <w:p>
      <w:pPr>
        <w:spacing w:after="0" w:line="79" w:lineRule="exact"/>
        <w:rPr>
          <w:sz w:val="20"/>
          <w:szCs w:val="20"/>
          <w:color w:val="auto"/>
        </w:rPr>
      </w:pPr>
    </w:p>
    <w:p>
      <w:pPr>
        <w:ind w:left="660" w:right="539" w:hanging="326"/>
        <w:spacing w:after="0" w:line="264" w:lineRule="auto"/>
        <w:rPr>
          <w:sz w:val="20"/>
          <w:szCs w:val="20"/>
          <w:color w:val="auto"/>
        </w:rPr>
      </w:pPr>
      <w:r>
        <w:rPr>
          <w:rFonts w:ascii="Times New Roman" w:cs="Times New Roman" w:eastAsia="Times New Roman" w:hAnsi="Times New Roman"/>
          <w:sz w:val="14"/>
          <w:szCs w:val="14"/>
          <w:color w:val="auto"/>
        </w:rPr>
        <w:t>5.40 the Company’s place of central management and control is not, and will not be as at each Bring-Down Date, the UK, the Channel Islands or the Isle of Man for the purposes of the City Code on Takeovers and Mergers; and</w:t>
      </w:r>
    </w:p>
    <w:p>
      <w:pPr>
        <w:spacing w:after="0" w:line="65" w:lineRule="exact"/>
        <w:rPr>
          <w:sz w:val="20"/>
          <w:szCs w:val="20"/>
          <w:color w:val="auto"/>
        </w:rPr>
      </w:pPr>
    </w:p>
    <w:p>
      <w:pPr>
        <w:ind w:left="660" w:right="439" w:hanging="326"/>
        <w:spacing w:after="0" w:line="264" w:lineRule="auto"/>
        <w:rPr>
          <w:sz w:val="20"/>
          <w:szCs w:val="20"/>
          <w:color w:val="auto"/>
        </w:rPr>
      </w:pPr>
      <w:r>
        <w:rPr>
          <w:rFonts w:ascii="Times New Roman" w:cs="Times New Roman" w:eastAsia="Times New Roman" w:hAnsi="Times New Roman"/>
          <w:sz w:val="14"/>
          <w:szCs w:val="14"/>
          <w:color w:val="auto"/>
        </w:rPr>
        <w:t>5.41 no application has been or will be made for any Securities to be listed or admitted to trading on a regulated market, multilateral trading facility or organised trading facility situated or operating in the United Kingdom.</w:t>
      </w:r>
    </w:p>
    <w:p>
      <w:pPr>
        <w:spacing w:after="0" w:line="61" w:lineRule="exact"/>
        <w:rPr>
          <w:sz w:val="20"/>
          <w:szCs w:val="20"/>
          <w:color w:val="auto"/>
        </w:rPr>
      </w:pPr>
    </w:p>
    <w:p>
      <w:pPr>
        <w:ind w:left="660" w:hanging="323"/>
        <w:spacing w:after="0"/>
        <w:tabs>
          <w:tab w:leader="none" w:pos="66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OPINIONS</w:t>
      </w:r>
    </w:p>
    <w:p>
      <w:pPr>
        <w:spacing w:after="0" w:line="9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2"/>
          <w:szCs w:val="12"/>
          <w:color w:val="auto"/>
        </w:rPr>
        <w:t>The opinions given in this letter are limited to English law as it would be applied by English courts on the date of this letter.</w:t>
      </w:r>
    </w:p>
    <w:p>
      <w:pPr>
        <w:spacing w:after="0" w:line="94" w:lineRule="exact"/>
        <w:rPr>
          <w:sz w:val="20"/>
          <w:szCs w:val="20"/>
          <w:color w:val="auto"/>
        </w:rPr>
      </w:pPr>
    </w:p>
    <w:p>
      <w:pPr>
        <w:ind w:left="660" w:right="37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6.2</w:t>
        <w:tab/>
        <w:t>We express no opinion in this letter on the laws of any other jurisdiction. We have not investigated the laws of any country other than England and we assume that no foreign law affects any of the opinions stated in paragraph 4 (</w:t>
      </w:r>
      <w:r>
        <w:rPr>
          <w:rFonts w:ascii="Times New Roman" w:cs="Times New Roman" w:eastAsia="Times New Roman" w:hAnsi="Times New Roman"/>
          <w:sz w:val="14"/>
          <w:szCs w:val="14"/>
          <w:i w:val="1"/>
          <w:iCs w:val="1"/>
          <w:color w:val="auto"/>
        </w:rPr>
        <w:t>Opinions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660" w:right="519" w:hanging="326"/>
        <w:spacing w:after="0" w:line="250" w:lineRule="auto"/>
        <w:tabs>
          <w:tab w:leader="none" w:pos="640" w:val="left"/>
        </w:tabs>
        <w:rPr>
          <w:sz w:val="20"/>
          <w:szCs w:val="20"/>
          <w:color w:val="auto"/>
        </w:rPr>
      </w:pPr>
      <w:r>
        <w:rPr>
          <w:rFonts w:ascii="Times New Roman" w:cs="Times New Roman" w:eastAsia="Times New Roman" w:hAnsi="Times New Roman"/>
          <w:sz w:val="14"/>
          <w:szCs w:val="14"/>
          <w:color w:val="auto"/>
        </w:rPr>
        <w:t>6.3</w:t>
        <w:tab/>
        <w:t>We express no opinion as to any agreement, instrument or other document other than as specified in this letter. For the purposes of giving the opinions in paragraph 4 (</w:t>
      </w:r>
      <w:r>
        <w:rPr>
          <w:rFonts w:ascii="Times New Roman" w:cs="Times New Roman" w:eastAsia="Times New Roman" w:hAnsi="Times New Roman"/>
          <w:sz w:val="14"/>
          <w:szCs w:val="14"/>
          <w:i w:val="1"/>
          <w:iCs w:val="1"/>
          <w:color w:val="auto"/>
        </w:rPr>
        <w:t>Opinions</w:t>
      </w:r>
      <w:r>
        <w:rPr>
          <w:rFonts w:ascii="Times New Roman" w:cs="Times New Roman" w:eastAsia="Times New Roman" w:hAnsi="Times New Roman"/>
          <w:sz w:val="14"/>
          <w:szCs w:val="14"/>
          <w:color w:val="auto"/>
        </w:rPr>
        <w:t>), we have only examined and relied on those documents set out in paragraph 2 (</w:t>
      </w:r>
      <w:r>
        <w:rPr>
          <w:rFonts w:ascii="Times New Roman" w:cs="Times New Roman" w:eastAsia="Times New Roman" w:hAnsi="Times New Roman"/>
          <w:sz w:val="14"/>
          <w:szCs w:val="14"/>
          <w:i w:val="1"/>
          <w:iCs w:val="1"/>
          <w:color w:val="auto"/>
        </w:rPr>
        <w:t>Documents</w:t>
      </w:r>
      <w:r>
        <w:rPr>
          <w:rFonts w:ascii="Times New Roman" w:cs="Times New Roman" w:eastAsia="Times New Roman" w:hAnsi="Times New Roman"/>
          <w:sz w:val="14"/>
          <w:szCs w:val="14"/>
          <w:color w:val="auto"/>
        </w:rPr>
        <w:t>) and made those searches and enquiries set out in paragraph 3 (</w:t>
      </w:r>
      <w:r>
        <w:rPr>
          <w:rFonts w:ascii="Times New Roman" w:cs="Times New Roman" w:eastAsia="Times New Roman" w:hAnsi="Times New Roman"/>
          <w:sz w:val="14"/>
          <w:szCs w:val="14"/>
          <w:i w:val="1"/>
          <w:iCs w:val="1"/>
          <w:color w:val="auto"/>
        </w:rPr>
        <w:t>Searches</w:t>
      </w:r>
      <w:r>
        <w:rPr>
          <w:rFonts w:ascii="Times New Roman" w:cs="Times New Roman" w:eastAsia="Times New Roman" w:hAnsi="Times New Roman"/>
          <w:sz w:val="14"/>
          <w:szCs w:val="14"/>
          <w:color w:val="auto"/>
        </w:rPr>
        <w:t>), respectively. We have made no further enquiries concerning the Company or any other matter in connection with the giving of the opinions in paragraph 4 (</w:t>
      </w:r>
      <w:r>
        <w:rPr>
          <w:rFonts w:ascii="Times New Roman" w:cs="Times New Roman" w:eastAsia="Times New Roman" w:hAnsi="Times New Roman"/>
          <w:sz w:val="14"/>
          <w:szCs w:val="14"/>
          <w:i w:val="1"/>
          <w:iCs w:val="1"/>
          <w:color w:val="auto"/>
        </w:rPr>
        <w:t>Opinions</w:t>
      </w:r>
      <w:r>
        <w:rPr>
          <w:rFonts w:ascii="Times New Roman" w:cs="Times New Roman" w:eastAsia="Times New Roman" w:hAnsi="Times New Roman"/>
          <w:sz w:val="14"/>
          <w:szCs w:val="14"/>
          <w:color w:val="auto"/>
        </w:rPr>
        <w:t>).</w:t>
      </w:r>
    </w:p>
    <w:p>
      <w:pPr>
        <w:spacing w:after="0" w:line="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2"/>
          <w:szCs w:val="12"/>
          <w:color w:val="auto"/>
        </w:rPr>
        <w:t>No opinion is expressed with respect to taxation in the United Kingdom or otherwise in this letter.</w:t>
      </w:r>
    </w:p>
    <w:p>
      <w:pPr>
        <w:spacing w:after="0" w:line="94" w:lineRule="exact"/>
        <w:rPr>
          <w:sz w:val="20"/>
          <w:szCs w:val="20"/>
          <w:color w:val="auto"/>
        </w:rPr>
      </w:pPr>
    </w:p>
    <w:p>
      <w:pPr>
        <w:ind w:left="660" w:right="899" w:hanging="326"/>
        <w:spacing w:after="0" w:line="349" w:lineRule="auto"/>
        <w:tabs>
          <w:tab w:leader="none" w:pos="64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2"/>
          <w:szCs w:val="12"/>
          <w:color w:val="auto"/>
        </w:rPr>
        <w:t>We have not been responsible for investigating or verifying the accuracy of the facts or the reasonableness of any statement of opinion or intention, contained in or relevant to any document referred to in this letter, or that no material facts have been omitted therefrom.</w:t>
      </w:r>
    </w:p>
    <w:p>
      <w:pPr>
        <w:spacing w:after="0" w:line="15" w:lineRule="exact"/>
        <w:rPr>
          <w:sz w:val="20"/>
          <w:szCs w:val="20"/>
          <w:color w:val="auto"/>
        </w:rPr>
      </w:pPr>
    </w:p>
    <w:p>
      <w:pPr>
        <w:ind w:left="660" w:right="479" w:hanging="326"/>
        <w:spacing w:after="0" w:line="255" w:lineRule="auto"/>
        <w:tabs>
          <w:tab w:leader="none" w:pos="640" w:val="left"/>
        </w:tabs>
        <w:rPr>
          <w:sz w:val="20"/>
          <w:szCs w:val="20"/>
          <w:color w:val="auto"/>
        </w:rPr>
      </w:pPr>
      <w:r>
        <w:rPr>
          <w:rFonts w:ascii="Times New Roman" w:cs="Times New Roman" w:eastAsia="Times New Roman" w:hAnsi="Times New Roman"/>
          <w:sz w:val="14"/>
          <w:szCs w:val="14"/>
          <w:color w:val="auto"/>
        </w:rPr>
        <w:t>6.6</w:t>
        <w:tab/>
        <w:t>The opinions given in this letter are given on the basis of each of the assumptions set out in paragraph 5 (</w:t>
      </w:r>
      <w:r>
        <w:rPr>
          <w:rFonts w:ascii="Times New Roman" w:cs="Times New Roman" w:eastAsia="Times New Roman" w:hAnsi="Times New Roman"/>
          <w:sz w:val="14"/>
          <w:szCs w:val="14"/>
          <w:i w:val="1"/>
          <w:iCs w:val="1"/>
          <w:color w:val="auto"/>
        </w:rPr>
        <w:t>Assumptions</w:t>
      </w:r>
      <w:r>
        <w:rPr>
          <w:rFonts w:ascii="Times New Roman" w:cs="Times New Roman" w:eastAsia="Times New Roman" w:hAnsi="Times New Roman"/>
          <w:sz w:val="14"/>
          <w:szCs w:val="14"/>
          <w:color w:val="auto"/>
        </w:rPr>
        <w:t>) and are subject to each of the reservations set out in paragraph 7 (</w:t>
      </w:r>
      <w:r>
        <w:rPr>
          <w:rFonts w:ascii="Times New Roman" w:cs="Times New Roman" w:eastAsia="Times New Roman" w:hAnsi="Times New Roman"/>
          <w:sz w:val="14"/>
          <w:szCs w:val="14"/>
          <w:i w:val="1"/>
          <w:iCs w:val="1"/>
          <w:color w:val="auto"/>
        </w:rPr>
        <w:t>Reservations</w:t>
      </w:r>
      <w:r>
        <w:rPr>
          <w:rFonts w:ascii="Times New Roman" w:cs="Times New Roman" w:eastAsia="Times New Roman" w:hAnsi="Times New Roman"/>
          <w:sz w:val="14"/>
          <w:szCs w:val="14"/>
          <w:color w:val="auto"/>
        </w:rPr>
        <w:t>) to this letter. The opinions given in this letter are strictly limited to the matters stated in paragraph 4 (</w:t>
      </w:r>
      <w:r>
        <w:rPr>
          <w:rFonts w:ascii="Times New Roman" w:cs="Times New Roman" w:eastAsia="Times New Roman" w:hAnsi="Times New Roman"/>
          <w:sz w:val="14"/>
          <w:szCs w:val="14"/>
          <w:i w:val="1"/>
          <w:iCs w:val="1"/>
          <w:color w:val="auto"/>
        </w:rPr>
        <w:t>Opinions</w:t>
      </w:r>
      <w:r>
        <w:rPr>
          <w:rFonts w:ascii="Times New Roman" w:cs="Times New Roman" w:eastAsia="Times New Roman" w:hAnsi="Times New Roman"/>
          <w:sz w:val="14"/>
          <w:szCs w:val="14"/>
          <w:color w:val="auto"/>
        </w:rPr>
        <w:t>) and do not extend, and should not be read as extending, by implication or otherwise, to any other matters.</w:t>
      </w:r>
    </w:p>
    <w:p>
      <w:pPr>
        <w:spacing w:after="0" w:line="71" w:lineRule="exact"/>
        <w:rPr>
          <w:sz w:val="20"/>
          <w:szCs w:val="20"/>
          <w:color w:val="auto"/>
        </w:rPr>
      </w:pPr>
    </w:p>
    <w:p>
      <w:pPr>
        <w:ind w:left="660" w:right="359" w:hanging="326"/>
        <w:spacing w:after="0" w:line="250" w:lineRule="auto"/>
        <w:tabs>
          <w:tab w:leader="none" w:pos="640" w:val="left"/>
        </w:tabs>
        <w:rPr>
          <w:sz w:val="20"/>
          <w:szCs w:val="20"/>
          <w:color w:val="auto"/>
        </w:rPr>
      </w:pPr>
      <w:r>
        <w:rPr>
          <w:rFonts w:ascii="Times New Roman" w:cs="Times New Roman" w:eastAsia="Times New Roman" w:hAnsi="Times New Roman"/>
          <w:sz w:val="14"/>
          <w:szCs w:val="14"/>
          <w:color w:val="auto"/>
        </w:rPr>
        <w:t>6.7</w:t>
        <w:tab/>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the opinion given in this letter.</w:t>
      </w:r>
    </w:p>
    <w:p>
      <w:pPr>
        <w:spacing w:after="0" w:line="75" w:lineRule="exact"/>
        <w:rPr>
          <w:sz w:val="20"/>
          <w:szCs w:val="20"/>
          <w:color w:val="auto"/>
        </w:rPr>
      </w:pPr>
    </w:p>
    <w:p>
      <w:pPr>
        <w:jc w:val="right"/>
        <w:ind w:left="340" w:right="419"/>
        <w:spacing w:after="0" w:line="349" w:lineRule="auto"/>
        <w:rPr>
          <w:sz w:val="20"/>
          <w:szCs w:val="20"/>
          <w:color w:val="auto"/>
        </w:rPr>
      </w:pPr>
      <w:r>
        <w:rPr>
          <w:rFonts w:ascii="Times New Roman" w:cs="Times New Roman" w:eastAsia="Times New Roman" w:hAnsi="Times New Roman"/>
          <w:sz w:val="12"/>
          <w:szCs w:val="12"/>
          <w:color w:val="auto"/>
        </w:rPr>
        <w:t>6.8  We have not been responsible for investigation or verification of statements of fact (including statements as to foreign law) or the reasonableness of any statements of opinion in the Registration Statement (including the Base Prospectus), or that no material facts have been omitted therefrom.</w:t>
      </w:r>
    </w:p>
    <w:p>
      <w:pPr>
        <w:sectPr>
          <w:pgSz w:w="11900" w:h="16838" w:orient="portrait"/>
          <w:cols w:equalWidth="0" w:num="1">
            <w:col w:w="9019"/>
          </w:cols>
          <w:pgMar w:left="1440" w:top="239" w:right="1440" w:bottom="1440" w:gutter="0" w:footer="0" w:header="0"/>
        </w:sectPr>
      </w:pPr>
    </w:p>
    <w:bookmarkStart w:id="76" w:name="page77"/>
    <w:bookmarkEnd w:id="76"/>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Page Nine</w:t>
      </w:r>
    </w:p>
    <w:p>
      <w:pPr>
        <w:spacing w:after="0" w:line="115" w:lineRule="exact"/>
        <w:rPr>
          <w:sz w:val="20"/>
          <w:szCs w:val="20"/>
          <w:color w:val="auto"/>
        </w:rPr>
      </w:pPr>
    </w:p>
    <w:p>
      <w:pPr>
        <w:ind w:left="660" w:right="49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6.9</w:t>
        <w:tab/>
        <w:t>This letter is given by Cooley (UK) LLP and no partner or employee assumes any personal responsibility for it nor shall owe any duty of care in respect of it.</w:t>
      </w:r>
    </w:p>
    <w:p>
      <w:pPr>
        <w:spacing w:after="0" w:line="65" w:lineRule="exact"/>
        <w:rPr>
          <w:sz w:val="20"/>
          <w:szCs w:val="20"/>
          <w:color w:val="auto"/>
        </w:rPr>
      </w:pPr>
    </w:p>
    <w:p>
      <w:pPr>
        <w:ind w:left="660" w:right="399" w:hanging="326"/>
        <w:spacing w:after="0" w:line="264" w:lineRule="auto"/>
        <w:rPr>
          <w:sz w:val="20"/>
          <w:szCs w:val="20"/>
          <w:color w:val="auto"/>
        </w:rPr>
      </w:pPr>
      <w:r>
        <w:rPr>
          <w:rFonts w:ascii="Times New Roman" w:cs="Times New Roman" w:eastAsia="Times New Roman" w:hAnsi="Times New Roman"/>
          <w:sz w:val="14"/>
          <w:szCs w:val="14"/>
          <w:color w:val="auto"/>
        </w:rPr>
        <w:t>6.10 This letter, the opinions given in it, and any non-contractual obligations arising out of or in connection with this letter and/or the opinions given in it, are governed by and shall be construed in accordance with English law as at the date of this letter.</w:t>
      </w:r>
    </w:p>
    <w:p>
      <w:pPr>
        <w:spacing w:after="0" w:line="61" w:lineRule="exact"/>
        <w:rPr>
          <w:sz w:val="20"/>
          <w:szCs w:val="20"/>
          <w:color w:val="auto"/>
        </w:rPr>
      </w:pPr>
    </w:p>
    <w:p>
      <w:pPr>
        <w:ind w:left="660" w:hanging="323"/>
        <w:spacing w:after="0"/>
        <w:tabs>
          <w:tab w:leader="none" w:pos="66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RESERVATIONS</w:t>
      </w:r>
    </w:p>
    <w:p>
      <w:pPr>
        <w:spacing w:after="0" w:line="9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2"/>
          <w:szCs w:val="12"/>
          <w:color w:val="auto"/>
        </w:rPr>
        <w:t>The Companies House Search described at paragraph 3.1 (</w:t>
      </w:r>
      <w:r>
        <w:rPr>
          <w:rFonts w:ascii="Times New Roman" w:cs="Times New Roman" w:eastAsia="Times New Roman" w:hAnsi="Times New Roman"/>
          <w:sz w:val="12"/>
          <w:szCs w:val="12"/>
          <w:i w:val="1"/>
          <w:iCs w:val="1"/>
          <w:color w:val="auto"/>
        </w:rPr>
        <w:t>Searches</w:t>
      </w:r>
      <w:r>
        <w:rPr>
          <w:rFonts w:ascii="Times New Roman" w:cs="Times New Roman" w:eastAsia="Times New Roman" w:hAnsi="Times New Roman"/>
          <w:sz w:val="12"/>
          <w:szCs w:val="12"/>
          <w:color w:val="auto"/>
        </w:rPr>
        <w:t>) is not capable of revealing conclusively whether or not:</w:t>
      </w:r>
    </w:p>
    <w:p>
      <w:pPr>
        <w:spacing w:after="0" w:line="96" w:lineRule="exact"/>
        <w:rPr>
          <w:sz w:val="20"/>
          <w:szCs w:val="20"/>
          <w:color w:val="auto"/>
        </w:rPr>
      </w:pPr>
    </w:p>
    <w:p>
      <w:pPr>
        <w:ind w:left="1080" w:hanging="416"/>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winding-up order has been made or a resolution passed for the winding-up of a company;</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administration order has been made; or</w:t>
      </w:r>
    </w:p>
    <w:p>
      <w:pPr>
        <w:spacing w:after="0" w:line="94"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receiver, administrative receiver, administrator or liquidator has been appointed,</w:t>
      </w:r>
    </w:p>
    <w:p>
      <w:pPr>
        <w:spacing w:after="0" w:line="84" w:lineRule="exact"/>
        <w:rPr>
          <w:sz w:val="20"/>
          <w:szCs w:val="20"/>
          <w:color w:val="auto"/>
        </w:rPr>
      </w:pPr>
    </w:p>
    <w:p>
      <w:pPr>
        <w:ind w:left="680" w:right="599"/>
        <w:spacing w:after="0" w:line="264" w:lineRule="auto"/>
        <w:rPr>
          <w:sz w:val="20"/>
          <w:szCs w:val="20"/>
          <w:color w:val="auto"/>
        </w:rPr>
      </w:pPr>
      <w:r>
        <w:rPr>
          <w:rFonts w:ascii="Times New Roman" w:cs="Times New Roman" w:eastAsia="Times New Roman" w:hAnsi="Times New Roman"/>
          <w:sz w:val="14"/>
          <w:szCs w:val="14"/>
          <w:color w:val="auto"/>
        </w:rPr>
        <w:t>since notice of these matters may not be filed with the Registrar of Companies in England and Wales immediately and, when filed, may not be entered on the public database or recorded on the public microfiches of the relevant company immediately.</w:t>
      </w:r>
    </w:p>
    <w:p>
      <w:pPr>
        <w:spacing w:after="0" w:line="54" w:lineRule="exact"/>
        <w:rPr>
          <w:sz w:val="20"/>
          <w:szCs w:val="20"/>
          <w:color w:val="auto"/>
        </w:rPr>
      </w:pPr>
    </w:p>
    <w:p>
      <w:pPr>
        <w:ind w:left="680" w:right="399"/>
        <w:spacing w:after="0" w:line="264" w:lineRule="auto"/>
        <w:rPr>
          <w:sz w:val="20"/>
          <w:szCs w:val="20"/>
          <w:color w:val="auto"/>
        </w:rPr>
      </w:pPr>
      <w:r>
        <w:rPr>
          <w:rFonts w:ascii="Times New Roman" w:cs="Times New Roman" w:eastAsia="Times New Roman" w:hAnsi="Times New Roman"/>
          <w:sz w:val="14"/>
          <w:szCs w:val="14"/>
          <w:color w:val="auto"/>
        </w:rPr>
        <w:t>In addition, such a company search is not capable of revealing, prior to the making of the relevant order, whether or not a winding-up petition or a petition for an administration order has been presented.</w:t>
      </w:r>
    </w:p>
    <w:p>
      <w:pPr>
        <w:spacing w:after="0" w:line="63" w:lineRule="exact"/>
        <w:rPr>
          <w:sz w:val="20"/>
          <w:szCs w:val="20"/>
          <w:color w:val="auto"/>
        </w:rPr>
      </w:pPr>
    </w:p>
    <w:p>
      <w:pPr>
        <w:ind w:left="660" w:right="359" w:hanging="326"/>
        <w:spacing w:after="0" w:line="247" w:lineRule="auto"/>
        <w:tabs>
          <w:tab w:leader="none" w:pos="640" w:val="left"/>
        </w:tabs>
        <w:rPr>
          <w:sz w:val="20"/>
          <w:szCs w:val="20"/>
          <w:color w:val="auto"/>
        </w:rPr>
      </w:pPr>
      <w:r>
        <w:rPr>
          <w:rFonts w:ascii="Times New Roman" w:cs="Times New Roman" w:eastAsia="Times New Roman" w:hAnsi="Times New Roman"/>
          <w:sz w:val="14"/>
          <w:szCs w:val="14"/>
          <w:color w:val="auto"/>
        </w:rPr>
        <w:t>7.2</w:t>
        <w:tab/>
        <w:t>The Central Registry Enquiry described at paragraph 3.2 (</w:t>
      </w:r>
      <w:r>
        <w:rPr>
          <w:rFonts w:ascii="Times New Roman" w:cs="Times New Roman" w:eastAsia="Times New Roman" w:hAnsi="Times New Roman"/>
          <w:sz w:val="14"/>
          <w:szCs w:val="14"/>
          <w:i w:val="1"/>
          <w:iCs w:val="1"/>
          <w:color w:val="auto"/>
        </w:rPr>
        <w:t>Searches</w:t>
      </w:r>
      <w:r>
        <w:rPr>
          <w:rFonts w:ascii="Times New Roman" w:cs="Times New Roman" w:eastAsia="Times New Roman" w:hAnsi="Times New Roman"/>
          <w:sz w:val="14"/>
          <w:szCs w:val="14"/>
          <w:color w:val="auto"/>
        </w:rPr>
        <w:t>) relates only to a compulsory winding-up and is not capable of revealing conclusively whether or not a winding-up petition in respect of a compulsory winding-up has been presented, since details of the petition may not have been entered on the records of the Central Registry immediately or, in the case of a petition presented to a District Registry and/or County Court in England and Wales, may not have been notified to the Central Registry and entered on such records at all, and the response to an enquiry only relates to the period since approximately 2016 for petitions presented in London and since approximately 2019 for petitions presented to a District Registry and/or County Court in England and Wales. We have not made enquiries of any District Registry or County Court in England and Wales.</w:t>
      </w:r>
    </w:p>
    <w:p>
      <w:pPr>
        <w:spacing w:after="0" w:line="78" w:lineRule="exact"/>
        <w:rPr>
          <w:sz w:val="20"/>
          <w:szCs w:val="20"/>
          <w:color w:val="auto"/>
        </w:rPr>
      </w:pPr>
    </w:p>
    <w:p>
      <w:pPr>
        <w:ind w:left="660" w:right="379" w:hanging="326"/>
        <w:spacing w:after="0" w:line="250" w:lineRule="auto"/>
        <w:tabs>
          <w:tab w:leader="none" w:pos="640" w:val="left"/>
        </w:tabs>
        <w:rPr>
          <w:sz w:val="20"/>
          <w:szCs w:val="20"/>
          <w:color w:val="auto"/>
        </w:rPr>
      </w:pPr>
      <w:r>
        <w:rPr>
          <w:rFonts w:ascii="Times New Roman" w:cs="Times New Roman" w:eastAsia="Times New Roman" w:hAnsi="Times New Roman"/>
          <w:sz w:val="14"/>
          <w:szCs w:val="14"/>
          <w:color w:val="auto"/>
        </w:rPr>
        <w:t>7.3</w:t>
        <w:tab/>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w:t>
      </w:r>
      <w:r>
        <w:rPr>
          <w:rFonts w:ascii="Times New Roman" w:cs="Times New Roman" w:eastAsia="Times New Roman" w:hAnsi="Times New Roman"/>
          <w:sz w:val="14"/>
          <w:szCs w:val="14"/>
          <w:i w:val="1"/>
          <w:iCs w:val="1"/>
          <w:color w:val="auto"/>
        </w:rPr>
        <w:t>co-operation between courts exercising jurisdiction in relation to insolvency</w:t>
      </w:r>
      <w:r>
        <w:rPr>
          <w:rFonts w:ascii="Times New Roman" w:cs="Times New Roman" w:eastAsia="Times New Roman" w:hAnsi="Times New Roman"/>
          <w:sz w:val="14"/>
          <w:szCs w:val="14"/>
          <w:color w:val="auto"/>
        </w:rPr>
        <w:t>) to assist the courts having the corresponding jurisdiction in any part of the United Kingdom or any relevant country or territory.</w:t>
      </w:r>
    </w:p>
    <w:p>
      <w:pPr>
        <w:spacing w:after="0" w:line="7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2"/>
          <w:szCs w:val="12"/>
          <w:color w:val="auto"/>
        </w:rPr>
        <w:t>We express no opinion as to matters of fact.</w:t>
      </w:r>
    </w:p>
    <w:p>
      <w:pPr>
        <w:spacing w:after="0" w:line="94" w:lineRule="exact"/>
        <w:rPr>
          <w:sz w:val="20"/>
          <w:szCs w:val="20"/>
          <w:color w:val="auto"/>
        </w:rPr>
      </w:pPr>
    </w:p>
    <w:p>
      <w:pPr>
        <w:jc w:val="both"/>
        <w:ind w:left="660" w:right="619" w:hanging="326"/>
        <w:spacing w:after="0" w:line="254" w:lineRule="auto"/>
        <w:tabs>
          <w:tab w:leader="none" w:pos="640" w:val="left"/>
        </w:tabs>
        <w:rPr>
          <w:sz w:val="20"/>
          <w:szCs w:val="20"/>
          <w:color w:val="auto"/>
        </w:rPr>
      </w:pPr>
      <w:r>
        <w:rPr>
          <w:rFonts w:ascii="Times New Roman" w:cs="Times New Roman" w:eastAsia="Times New Roman" w:hAnsi="Times New Roman"/>
          <w:sz w:val="14"/>
          <w:szCs w:val="14"/>
          <w:color w:val="auto"/>
        </w:rPr>
        <w:t>7.5</w:t>
        <w:tab/>
        <w:t>Save for the matters set out in the Secretary’s Certificate, we have made no enquiries of any individual connected with the Company. We have relied entirely on the facts, statements and confirmations contained in the Secretary’s Certificate and we have not undertaken any independent investigation or verification of the matters referred to in the Secretary’s Certificate.</w:t>
      </w:r>
    </w:p>
    <w:p>
      <w:pPr>
        <w:spacing w:after="0" w:line="69" w:lineRule="exact"/>
        <w:rPr>
          <w:sz w:val="20"/>
          <w:szCs w:val="20"/>
          <w:color w:val="auto"/>
        </w:rPr>
      </w:pPr>
    </w:p>
    <w:p>
      <w:pPr>
        <w:ind w:left="660" w:right="439" w:hanging="326"/>
        <w:spacing w:after="0" w:line="249" w:lineRule="auto"/>
        <w:tabs>
          <w:tab w:leader="none" w:pos="640" w:val="left"/>
        </w:tabs>
        <w:rPr>
          <w:sz w:val="20"/>
          <w:szCs w:val="20"/>
          <w:color w:val="auto"/>
        </w:rPr>
      </w:pPr>
      <w:r>
        <w:rPr>
          <w:rFonts w:ascii="Times New Roman" w:cs="Times New Roman" w:eastAsia="Times New Roman" w:hAnsi="Times New Roman"/>
          <w:sz w:val="14"/>
          <w:szCs w:val="14"/>
          <w:color w:val="auto"/>
        </w:rPr>
        <w:t>7.6</w:t>
        <w:tab/>
        <w:t>The opinion set out in paragraph 4.3 (</w:t>
      </w:r>
      <w:r>
        <w:rPr>
          <w:rFonts w:ascii="Times New Roman" w:cs="Times New Roman" w:eastAsia="Times New Roman" w:hAnsi="Times New Roman"/>
          <w:sz w:val="14"/>
          <w:szCs w:val="14"/>
          <w:i w:val="1"/>
          <w:iCs w:val="1"/>
          <w:color w:val="auto"/>
        </w:rPr>
        <w:t>Opinions</w:t>
      </w:r>
      <w:r>
        <w:rPr>
          <w:rFonts w:ascii="Times New Roman" w:cs="Times New Roman" w:eastAsia="Times New Roman" w:hAnsi="Times New Roman"/>
          <w:sz w:val="14"/>
          <w:szCs w:val="14"/>
          <w:color w:val="auto"/>
        </w:rPr>
        <w:t>) relates only to Ordinary Shares offered or sold from time to time pursuant to the Registration Statement (including Ordinary Shares issued upon conversion of any convertible Debt Securities in accordance with their terms, or upon exercise of any Warrants in accordance with their terms) that are new Ordinary Shares issued by the Company from time to time following the date of the Registration Statement. We express no opinion in respect of any securities of the Company existing as at the date of this opinion which may be offered or sold from time to time.</w:t>
      </w:r>
    </w:p>
    <w:p>
      <w:pPr>
        <w:sectPr>
          <w:pgSz w:w="11900" w:h="16838" w:orient="portrait"/>
          <w:cols w:equalWidth="0" w:num="1">
            <w:col w:w="9019"/>
          </w:cols>
          <w:pgMar w:left="1440" w:top="239" w:right="1440"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04075" cy="31750"/>
                    </a:xfrm>
                    <a:prstGeom prst="rect">
                      <a:avLst/>
                    </a:prstGeom>
                    <a:noFill/>
                  </pic:spPr>
                </pic:pic>
              </a:graphicData>
            </a:graphic>
          </wp:anchor>
        </w:drawing>
        <w:t>Page Ten</w:t>
      </w:r>
    </w:p>
    <w:p>
      <w:pPr>
        <w:spacing w:after="0" w:line="115" w:lineRule="exact"/>
        <w:rPr>
          <w:sz w:val="20"/>
          <w:szCs w:val="20"/>
          <w:color w:val="auto"/>
        </w:rPr>
      </w:pPr>
    </w:p>
    <w:p>
      <w:pPr>
        <w:ind w:left="660" w:right="399" w:hanging="326"/>
        <w:spacing w:after="0" w:line="300" w:lineRule="auto"/>
        <w:tabs>
          <w:tab w:leader="none" w:pos="640" w:val="left"/>
        </w:tabs>
        <w:rPr>
          <w:sz w:val="20"/>
          <w:szCs w:val="20"/>
          <w:color w:val="auto"/>
        </w:rPr>
      </w:pPr>
      <w:r>
        <w:rPr>
          <w:rFonts w:ascii="Times New Roman" w:cs="Times New Roman" w:eastAsia="Times New Roman" w:hAnsi="Times New Roman"/>
          <w:sz w:val="14"/>
          <w:szCs w:val="14"/>
          <w:color w:val="auto"/>
        </w:rPr>
        <w:t>7.7</w:t>
      </w:r>
      <w:r>
        <w:rPr>
          <w:sz w:val="20"/>
          <w:szCs w:val="20"/>
          <w:color w:val="auto"/>
        </w:rPr>
        <w:tab/>
      </w:r>
      <w:r>
        <w:rPr>
          <w:rFonts w:ascii="Times New Roman" w:cs="Times New Roman" w:eastAsia="Times New Roman" w:hAnsi="Times New Roman"/>
          <w:sz w:val="12"/>
          <w:szCs w:val="12"/>
          <w:color w:val="auto"/>
        </w:rPr>
        <w:t>If (a) a party to any of the Relevant Agreements is the target of economic or financial sanctions or other restrictive measures imposed in any jurisdiction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or is owned or controlled (directly or indirectly) by or is acting on behalf of or at the direction of or is otherwise connected with a person who is a target of Sanctions or (b) any party to any of the Relevant Agreements is incorporated or resident in or operating from a country or territory that is a target of Sanctions or (c) the rights or obligations of any party to any of the Relevant Agreements is otherwise affected by Sanctions, then the rights and obligations of such person under the Relevant Agreements may be void and/or unenforceable.</w:t>
      </w:r>
    </w:p>
    <w:p>
      <w:pPr>
        <w:spacing w:after="0" w:line="46" w:lineRule="exact"/>
        <w:rPr>
          <w:sz w:val="20"/>
          <w:szCs w:val="20"/>
          <w:color w:val="auto"/>
        </w:rPr>
      </w:pPr>
    </w:p>
    <w:p>
      <w:pPr>
        <w:ind w:left="660" w:right="45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7.8</w:t>
        <w:tab/>
        <w:t>We express no opinion in this letter on the application or potential application of the National Security and Investment Act 2021 in relation to the Relevant Agreements or any transaction contemplated thereby.</w:t>
      </w:r>
    </w:p>
    <w:p>
      <w:pPr>
        <w:spacing w:after="0" w:line="61" w:lineRule="exact"/>
        <w:rPr>
          <w:sz w:val="20"/>
          <w:szCs w:val="20"/>
          <w:color w:val="auto"/>
        </w:rPr>
      </w:pPr>
    </w:p>
    <w:p>
      <w:pPr>
        <w:ind w:left="660" w:hanging="323"/>
        <w:spacing w:after="0"/>
        <w:tabs>
          <w:tab w:leader="none" w:pos="66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DISCLOSURE AND RELIANCE</w:t>
      </w:r>
    </w:p>
    <w:p>
      <w:pPr>
        <w:spacing w:after="0" w:line="98" w:lineRule="exact"/>
        <w:rPr>
          <w:sz w:val="20"/>
          <w:szCs w:val="20"/>
          <w:color w:val="auto"/>
        </w:rPr>
      </w:pPr>
    </w:p>
    <w:p>
      <w:pPr>
        <w:jc w:val="both"/>
        <w:ind w:left="660" w:right="359" w:hanging="326"/>
        <w:spacing w:after="0" w:line="254" w:lineRule="auto"/>
        <w:tabs>
          <w:tab w:leader="none" w:pos="640" w:val="left"/>
        </w:tabs>
        <w:rPr>
          <w:sz w:val="20"/>
          <w:szCs w:val="20"/>
          <w:color w:val="auto"/>
        </w:rPr>
      </w:pPr>
      <w:r>
        <w:rPr>
          <w:rFonts w:ascii="Times New Roman" w:cs="Times New Roman" w:eastAsia="Times New Roman" w:hAnsi="Times New Roman"/>
          <w:sz w:val="14"/>
          <w:szCs w:val="14"/>
          <w:color w:val="auto"/>
        </w:rPr>
        <w:t>8.1</w:t>
        <w:tab/>
        <w:t>This letter is addressed to you solely for your benefit in connection with the Registration Statement and the transactions contemplated thereunder.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71" w:lineRule="exact"/>
        <w:rPr>
          <w:sz w:val="20"/>
          <w:szCs w:val="20"/>
          <w:color w:val="auto"/>
        </w:rPr>
      </w:pPr>
    </w:p>
    <w:p>
      <w:pPr>
        <w:jc w:val="both"/>
        <w:ind w:left="660" w:right="379" w:hanging="326"/>
        <w:spacing w:after="0" w:line="264" w:lineRule="auto"/>
        <w:tabs>
          <w:tab w:leader="none" w:pos="640" w:val="left"/>
        </w:tabs>
        <w:rPr>
          <w:sz w:val="20"/>
          <w:szCs w:val="20"/>
          <w:color w:val="auto"/>
        </w:rPr>
      </w:pPr>
      <w:r>
        <w:rPr>
          <w:rFonts w:ascii="Times New Roman" w:cs="Times New Roman" w:eastAsia="Times New Roman" w:hAnsi="Times New Roman"/>
          <w:sz w:val="14"/>
          <w:szCs w:val="14"/>
          <w:color w:val="auto"/>
        </w:rPr>
        <w:t>8.2</w:t>
        <w:tab/>
        <w:t>This letter may not be relied upon by you for any other purpose, or furnished to, assigned to, quoted to, or relied upon by any other person, firm or other entity for any purpose, without our prior written consent, which may be granted or withheld at our sole discretion.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 Cooley (UK) LLP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Cooley (UK) LLP</w:t>
      </w:r>
    </w:p>
    <w:p>
      <w:pPr>
        <w:sectPr>
          <w:pgSz w:w="11900" w:h="16838" w:orient="portrait"/>
          <w:cols w:equalWidth="0" w:num="1">
            <w:col w:w="9019"/>
          </w:cols>
          <w:pgMar w:left="1440" w:top="239" w:right="1440" w:bottom="1440" w:gutter="0" w:footer="0" w:header="0"/>
        </w:sectPr>
      </w:pPr>
    </w:p>
    <w:bookmarkStart w:id="78" w:name="page79"/>
    <w:bookmarkEnd w:id="78"/>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128905</wp:posOffset>
            </wp:positionV>
            <wp:extent cx="888365" cy="292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888365"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Christian E. Plaza</w:t>
      </w:r>
    </w:p>
    <w:p>
      <w:pPr>
        <w:spacing w:after="0" w:line="14" w:lineRule="exact"/>
        <w:rPr>
          <w:sz w:val="20"/>
          <w:szCs w:val="20"/>
          <w:color w:val="auto"/>
        </w:rPr>
      </w:pPr>
    </w:p>
    <w:p>
      <w:pPr>
        <w:jc w:val="both"/>
        <w:ind w:left="340" w:right="7579" w:hanging="3"/>
        <w:spacing w:after="0" w:line="328" w:lineRule="auto"/>
        <w:tabs>
          <w:tab w:leader="none" w:pos="48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+1 703 456 8006 cplaza@cooley.com</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April 10, 2026</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Autolus Therapeutics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Media Works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191 Wood Lane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London W12 7FP</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United Kingdom</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4" w:lineRule="exact"/>
        <w:rPr>
          <w:sz w:val="20"/>
          <w:szCs w:val="20"/>
          <w:color w:val="auto"/>
        </w:rPr>
      </w:pPr>
    </w:p>
    <w:p>
      <w:pPr>
        <w:ind w:left="340" w:right="379"/>
        <w:spacing w:after="0" w:line="247" w:lineRule="auto"/>
        <w:rPr>
          <w:sz w:val="20"/>
          <w:szCs w:val="20"/>
          <w:color w:val="auto"/>
        </w:rPr>
      </w:pPr>
      <w:r>
        <w:rPr>
          <w:rFonts w:ascii="Times New Roman" w:cs="Times New Roman" w:eastAsia="Times New Roman" w:hAnsi="Times New Roman"/>
          <w:sz w:val="14"/>
          <w:szCs w:val="14"/>
          <w:color w:val="auto"/>
        </w:rPr>
        <w:t>We have acted as special U.S. counsel to Autolus Therapeutics plc, a public limited company incorporated under the laws of England and Wales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a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that provides it will be supplemented by one or more prospectus supplements (each, a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will provide for the registration by the Company of the following securities:</w:t>
      </w:r>
    </w:p>
    <w:p>
      <w:pPr>
        <w:spacing w:after="0" w:line="74" w:lineRule="exact"/>
        <w:rPr>
          <w:sz w:val="20"/>
          <w:szCs w:val="20"/>
          <w:color w:val="auto"/>
        </w:rPr>
      </w:pPr>
    </w:p>
    <w:p>
      <w:pPr>
        <w:ind w:left="1080" w:right="459" w:hanging="334"/>
        <w:spacing w:after="0" w:line="270" w:lineRule="auto"/>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nominal value $0.000042 per share, of the Company (the “</w:t>
      </w:r>
      <w:r>
        <w:rPr>
          <w:rFonts w:ascii="Times New Roman" w:cs="Times New Roman" w:eastAsia="Times New Roman" w:hAnsi="Times New Roman"/>
          <w:sz w:val="14"/>
          <w:szCs w:val="14"/>
          <w:b w:val="1"/>
          <w:bCs w:val="1"/>
          <w:i w:val="1"/>
          <w:iCs w:val="1"/>
          <w:color w:val="auto"/>
        </w:rPr>
        <w:t>Ordinary Shares</w:t>
      </w:r>
      <w:r>
        <w:rPr>
          <w:rFonts w:ascii="Times New Roman" w:cs="Times New Roman" w:eastAsia="Times New Roman" w:hAnsi="Times New Roman"/>
          <w:sz w:val="14"/>
          <w:szCs w:val="14"/>
          <w:color w:val="auto"/>
        </w:rPr>
        <w:t>”), including Ordinary Shares represented by American Depositary Shares;</w:t>
      </w:r>
    </w:p>
    <w:p>
      <w:pPr>
        <w:spacing w:after="0" w:line="56" w:lineRule="exact"/>
        <w:rPr>
          <w:rFonts w:ascii="Times New Roman" w:cs="Times New Roman" w:eastAsia="Times New Roman" w:hAnsi="Times New Roman"/>
          <w:sz w:val="14"/>
          <w:szCs w:val="14"/>
          <w:color w:val="auto"/>
        </w:rPr>
      </w:pPr>
    </w:p>
    <w:p>
      <w:pPr>
        <w:ind w:left="1080" w:right="359" w:hanging="334"/>
        <w:spacing w:after="0" w:line="252" w:lineRule="auto"/>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4.7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and</w:t>
      </w:r>
    </w:p>
    <w:p>
      <w:pPr>
        <w:spacing w:after="0" w:line="69" w:lineRule="exact"/>
        <w:rPr>
          <w:rFonts w:ascii="Times New Roman" w:cs="Times New Roman" w:eastAsia="Times New Roman" w:hAnsi="Times New Roman"/>
          <w:sz w:val="14"/>
          <w:szCs w:val="14"/>
          <w:color w:val="auto"/>
        </w:rPr>
      </w:pPr>
    </w:p>
    <w:p>
      <w:pPr>
        <w:ind w:left="1080" w:right="359" w:hanging="334"/>
        <w:spacing w:after="0" w:line="252" w:lineRule="auto"/>
        <w:tabs>
          <w:tab w:leader="none" w:pos="10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Ordinary Shares,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filed as Exhibits 4.9 and 4.10, respectively, to the Registration Statement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340" w:right="619"/>
        <w:spacing w:after="0" w:line="250" w:lineRule="auto"/>
        <w:rPr>
          <w:sz w:val="20"/>
          <w:szCs w:val="20"/>
          <w:color w:val="auto"/>
        </w:rPr>
      </w:pPr>
      <w:r>
        <w:rPr>
          <w:rFonts w:ascii="Times New Roman" w:cs="Times New Roman" w:eastAsia="Times New Roman" w:hAnsi="Times New Roman"/>
          <w:sz w:val="14"/>
          <w:szCs w:val="14"/>
          <w:color w:val="auto"/>
        </w:rPr>
        <w:t>The Ordinary Shares, the Debt Securities and the Warrants, plus any additional Ordinary Shares, Debt Securities or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Reston Town Center 11951 Freedom Drive 14th Floor Reston, VA 20190-5656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+1 703 456 8000 f: +1 703 456 8100 cooley.com</w:t>
      </w:r>
    </w:p>
    <w:p>
      <w:pPr>
        <w:sectPr>
          <w:pgSz w:w="11900" w:h="16838" w:orient="portrait"/>
          <w:cols w:equalWidth="0" w:num="1">
            <w:col w:w="9019"/>
          </w:cols>
          <w:pgMar w:left="1440" w:top="123" w:right="1440"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160020</wp:posOffset>
            </wp:positionV>
            <wp:extent cx="888365" cy="292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888365" cy="292100"/>
                    </a:xfrm>
                    <a:prstGeom prst="rect">
                      <a:avLst/>
                    </a:prstGeom>
                    <a:noFill/>
                  </pic:spPr>
                </pic:pic>
              </a:graphicData>
            </a:graphic>
          </wp:anchor>
        </w:drawing>
        <w:t>Autolus Therapeutics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April 10, 2026</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Two</w:t>
      </w:r>
    </w:p>
    <w:p>
      <w:pPr>
        <w:spacing w:after="0" w:line="103" w:lineRule="exact"/>
        <w:rPr>
          <w:sz w:val="20"/>
          <w:szCs w:val="20"/>
          <w:color w:val="auto"/>
        </w:rPr>
      </w:pPr>
    </w:p>
    <w:p>
      <w:pPr>
        <w:ind w:left="340" w:right="439"/>
        <w:spacing w:after="0" w:line="316" w:lineRule="auto"/>
        <w:rPr>
          <w:sz w:val="20"/>
          <w:szCs w:val="20"/>
          <w:color w:val="auto"/>
        </w:rPr>
      </w:pPr>
      <w:r>
        <w:rPr>
          <w:rFonts w:ascii="Times New Roman" w:cs="Times New Roman" w:eastAsia="Times New Roman" w:hAnsi="Times New Roman"/>
          <w:sz w:val="12"/>
          <w:szCs w:val="12"/>
          <w:color w:val="auto"/>
        </w:rPr>
        <w:t>In connection with this opinion, we have examined and relied upon the Registration Statement, the Base Prospectus and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09" w:lineRule="exact"/>
        <w:rPr>
          <w:sz w:val="20"/>
          <w:szCs w:val="20"/>
          <w:color w:val="auto"/>
        </w:rPr>
      </w:pPr>
    </w:p>
    <w:p>
      <w:pPr>
        <w:ind w:left="340" w:right="419"/>
        <w:spacing w:after="0" w:line="289" w:lineRule="auto"/>
        <w:rPr>
          <w:sz w:val="20"/>
          <w:szCs w:val="20"/>
          <w:color w:val="auto"/>
        </w:rPr>
      </w:pPr>
      <w:r>
        <w:rPr>
          <w:rFonts w:ascii="Times New Roman" w:cs="Times New Roman" w:eastAsia="Times New Roman" w:hAnsi="Times New Roman"/>
          <w:sz w:val="12"/>
          <w:szCs w:val="12"/>
          <w:color w:val="auto"/>
        </w:rPr>
        <w:t>In rendering this opinion, we have assumed the legal capacity of all natural persons, the genuineness of all signatures; the authenticity of all documents submitted to us as originals; the conformity to originals of all documents submitted to us as copies; the accuracy, completeness and authenticity of certificates of public officials; the valid existence of the Company under the laws of England and Wales; that the Company has the corporate power to enter into and perform its obligations under the Warrants, the Warrant Agreements, the Debt Securities and the Indenture in accordance with their terms and at the time of issuance will have duly authorized, executed and delivered the Warrants, the Warrant Agreements, the Debt Securities and the Indenture, as applicable, in accordance with its organizational documents and the laws of England and Wales; that any Ordinary Shares issued upon conversion of the Debt Securities or exercise of the Warrants will be duly authorized, validly issued, fully paid and nonassessable; and that the execution, delivery and performance by the Company of its obligations under the Warrants, the Warrant Agreements, the Debt Securities and the Indenture do not and will not violate the laws of England and Wales or any other applicable laws (excepting from such assumption the laws of the State of New York). We have also assumed that any Debt Securities or Warrants offered under the Registration Statement, and the related Indenture and Warrant Agreement, will be executed in the forms filed as exhibits to the Registration Statement. We have also assumed that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200" w:lineRule="exact"/>
        <w:rPr>
          <w:sz w:val="20"/>
          <w:szCs w:val="20"/>
          <w:color w:val="auto"/>
        </w:rPr>
      </w:pPr>
    </w:p>
    <w:p>
      <w:pPr>
        <w:spacing w:after="0" w:line="254" w:lineRule="exact"/>
        <w:rPr>
          <w:sz w:val="20"/>
          <w:szCs w:val="20"/>
          <w:color w:val="auto"/>
        </w:rPr>
      </w:pPr>
    </w:p>
    <w:p>
      <w:pPr>
        <w:ind w:left="340" w:right="659"/>
        <w:spacing w:after="0" w:line="254"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laws of the State of New York. Our opinion is based on these laws as in effect on the date hereof. We express no opinion to the extent that any other laws are applicable to the subject matter hereof and express no opinion and provide no assurance as to compliance with any foreign, U.S. federal or state securities law, rule or regulation.</w:t>
      </w:r>
    </w:p>
    <w:p>
      <w:pPr>
        <w:spacing w:after="0" w:line="142" w:lineRule="exact"/>
        <w:rPr>
          <w:sz w:val="20"/>
          <w:szCs w:val="20"/>
          <w:color w:val="auto"/>
        </w:rPr>
      </w:pPr>
    </w:p>
    <w:p>
      <w:pPr>
        <w:ind w:left="340" w:right="379"/>
        <w:spacing w:after="0" w:line="264" w:lineRule="auto"/>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exceptions, limitations and qualifications set forth herein, we are of the opinion that:</w:t>
      </w:r>
    </w:p>
    <w:p>
      <w:pPr>
        <w:spacing w:after="0" w:line="54" w:lineRule="exact"/>
        <w:rPr>
          <w:sz w:val="20"/>
          <w:szCs w:val="20"/>
          <w:color w:val="auto"/>
        </w:rPr>
      </w:pPr>
    </w:p>
    <w:p>
      <w:pPr>
        <w:jc w:val="both"/>
        <w:ind w:left="340" w:right="439" w:firstLine="331"/>
        <w:spacing w:after="0" w:line="250" w:lineRule="auto"/>
        <w:tabs>
          <w:tab w:leader="none" w:pos="809"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Reston Town Center 11951 Freedom Drive 14th Floor Reston, VA 20190-5656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+1 703 456 8000 f: +1 703 456 8100 cooley.com</w:t>
      </w:r>
    </w:p>
    <w:p>
      <w:pPr>
        <w:sectPr>
          <w:pgSz w:w="11900" w:h="16838" w:orient="portrait"/>
          <w:cols w:equalWidth="0" w:num="1">
            <w:col w:w="9019"/>
          </w:cols>
          <w:pgMar w:left="1440" w:top="780" w:right="1440"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160020</wp:posOffset>
            </wp:positionV>
            <wp:extent cx="888365" cy="292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888365" cy="292100"/>
                    </a:xfrm>
                    <a:prstGeom prst="rect">
                      <a:avLst/>
                    </a:prstGeom>
                    <a:noFill/>
                  </pic:spPr>
                </pic:pic>
              </a:graphicData>
            </a:graphic>
          </wp:anchor>
        </w:drawing>
        <w:t>Autolus Therapeutics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April 10, 2026</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Three</w:t>
      </w:r>
    </w:p>
    <w:p>
      <w:pPr>
        <w:spacing w:after="0" w:line="103" w:lineRule="exact"/>
        <w:rPr>
          <w:sz w:val="20"/>
          <w:szCs w:val="20"/>
          <w:color w:val="auto"/>
        </w:rPr>
      </w:pPr>
    </w:p>
    <w:p>
      <w:pPr>
        <w:ind w:left="340" w:right="379"/>
        <w:spacing w:after="0" w:line="245" w:lineRule="auto"/>
        <w:rPr>
          <w:sz w:val="20"/>
          <w:szCs w:val="20"/>
          <w:color w:val="auto"/>
        </w:rPr>
      </w:pPr>
      <w:r>
        <w:rPr>
          <w:rFonts w:ascii="Times New Roman" w:cs="Times New Roman" w:eastAsia="Times New Roman" w:hAnsi="Times New Roman"/>
          <w:sz w:val="14"/>
          <w:szCs w:val="14"/>
          <w:color w:val="auto"/>
        </w:rPr>
        <w:t>executed and delivered by the Company and the Trustee and has been qualified under the Trust Indenture Act of 1939, as amended; (d) the terms of the Debt Securities and their issuance and sale have been duly authorized by the Company by all necessary corporate action; (e) the terms of the Debt Securities and their issuance and sale have been duly established in conformity with the Indenture so as not to violate any applicable law or result in a default under or breach of any agreement or instrument binding upon the Company, so as to be in conformity with the Company’s then operative articles of association (the “</w:t>
      </w:r>
      <w:r>
        <w:rPr>
          <w:rFonts w:ascii="Times New Roman" w:cs="Times New Roman" w:eastAsia="Times New Roman" w:hAnsi="Times New Roman"/>
          <w:sz w:val="14"/>
          <w:szCs w:val="14"/>
          <w:b w:val="1"/>
          <w:bCs w:val="1"/>
          <w:i w:val="1"/>
          <w:iCs w:val="1"/>
          <w:color w:val="auto"/>
        </w:rPr>
        <w:t>Articles of Association</w:t>
      </w:r>
      <w:r>
        <w:rPr>
          <w:rFonts w:ascii="Times New Roman" w:cs="Times New Roman" w:eastAsia="Times New Roman" w:hAnsi="Times New Roman"/>
          <w:sz w:val="14"/>
          <w:szCs w:val="14"/>
          <w:color w:val="auto"/>
        </w:rPr>
        <w:t>”),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3" w:lineRule="exact"/>
        <w:rPr>
          <w:sz w:val="20"/>
          <w:szCs w:val="20"/>
          <w:color w:val="auto"/>
        </w:rPr>
      </w:pPr>
    </w:p>
    <w:p>
      <w:pPr>
        <w:ind w:left="800" w:hanging="129"/>
        <w:spacing w:after="0"/>
        <w:tabs>
          <w:tab w:leader="none" w:pos="80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Warrants issued under the Warrant Agreements and offered under the Registration Statement, provided that (a) the</w:t>
      </w:r>
    </w:p>
    <w:p>
      <w:pPr>
        <w:spacing w:after="0" w:line="14" w:lineRule="exact"/>
        <w:rPr>
          <w:rFonts w:ascii="Times New Roman" w:cs="Times New Roman" w:eastAsia="Times New Roman" w:hAnsi="Times New Roman"/>
          <w:sz w:val="14"/>
          <w:szCs w:val="14"/>
          <w:b w:val="1"/>
          <w:bCs w:val="1"/>
          <w:color w:val="auto"/>
        </w:rPr>
      </w:pPr>
    </w:p>
    <w:p>
      <w:pPr>
        <w:ind w:left="340" w:right="359"/>
        <w:spacing w:after="0" w:line="28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color w:val="auto"/>
        </w:rPr>
        <w:t>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of Association,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w:t>
      </w:r>
    </w:p>
    <w:p>
      <w:pPr>
        <w:spacing w:after="0" w:line="1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Cooley LLP Reston Town Center 11951 Freedom Drive 14th Floor Reston, VA 20190-5656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+1 703 456 8000 f: +1 703 456 8100 cooley.com</w:t>
      </w:r>
    </w:p>
    <w:p>
      <w:pPr>
        <w:sectPr>
          <w:pgSz w:w="11900" w:h="16838" w:orient="portrait"/>
          <w:cols w:equalWidth="0" w:num="1">
            <w:col w:w="9019"/>
          </w:cols>
          <w:pgMar w:left="1440" w:top="780" w:right="1440"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04075" cy="31750"/>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160020</wp:posOffset>
            </wp:positionV>
            <wp:extent cx="888365" cy="292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888365" cy="292100"/>
                    </a:xfrm>
                    <a:prstGeom prst="rect">
                      <a:avLst/>
                    </a:prstGeom>
                    <a:noFill/>
                  </pic:spPr>
                </pic:pic>
              </a:graphicData>
            </a:graphic>
          </wp:anchor>
        </w:drawing>
        <w:t>Autolus Therapeutics plc</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April 10, 2026</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Page Four</w:t>
      </w:r>
    </w:p>
    <w:p>
      <w:pPr>
        <w:spacing w:after="0" w:line="103" w:lineRule="exact"/>
        <w:rPr>
          <w:sz w:val="20"/>
          <w:szCs w:val="20"/>
          <w:color w:val="auto"/>
        </w:rPr>
      </w:pPr>
    </w:p>
    <w:p>
      <w:pPr>
        <w:ind w:left="340" w:right="399"/>
        <w:spacing w:after="0" w:line="250"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6" w:lineRule="exact"/>
        <w:rPr>
          <w:sz w:val="20"/>
          <w:szCs w:val="20"/>
          <w:color w:val="auto"/>
        </w:rPr>
      </w:pPr>
    </w:p>
    <w:p>
      <w:pPr>
        <w:ind w:left="340" w:right="479"/>
        <w:spacing w:after="0" w:line="305" w:lineRule="auto"/>
        <w:rPr>
          <w:sz w:val="20"/>
          <w:szCs w:val="20"/>
          <w:color w:val="auto"/>
        </w:rPr>
      </w:pPr>
      <w:r>
        <w:rPr>
          <w:rFonts w:ascii="Times New Roman" w:cs="Times New Roman" w:eastAsia="Times New Roman" w:hAnsi="Times New Roman"/>
          <w:sz w:val="12"/>
          <w:szCs w:val="12"/>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Sincerely,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COOLEY LLP</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By: /s/ Christian Plaza</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Christian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-100965</wp:posOffset>
            </wp:positionV>
            <wp:extent cx="196469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964690" cy="635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Reston Town Center 11951 Freedom Drive 14th Floor Reston, VA 20190-5656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+1 703 456 8000 f: +1 703 456 8100 cooley.com</w:t>
      </w:r>
    </w:p>
    <w:p>
      <w:pPr>
        <w:sectPr>
          <w:pgSz w:w="11900" w:h="16838" w:orient="portrait"/>
          <w:cols w:equalWidth="0" w:num="1">
            <w:col w:w="9019"/>
          </w:cols>
          <w:pgMar w:left="1440" w:top="780" w:right="1440" w:bottom="1440" w:gutter="0" w:footer="0" w:header="0"/>
        </w:sectPr>
      </w:pPr>
    </w:p>
    <w:bookmarkStart w:id="82" w:name="page83"/>
    <w:bookmarkEnd w:id="82"/>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6" w:lineRule="exact"/>
        <w:rPr>
          <w:sz w:val="20"/>
          <w:szCs w:val="20"/>
          <w:color w:val="auto"/>
        </w:rPr>
      </w:pPr>
    </w:p>
    <w:p>
      <w:pPr>
        <w:ind w:left="340" w:right="359"/>
        <w:spacing w:after="0" w:line="305" w:lineRule="auto"/>
        <w:rPr>
          <w:sz w:val="20"/>
          <w:szCs w:val="20"/>
          <w:color w:val="auto"/>
        </w:rPr>
      </w:pPr>
      <w:r>
        <w:rPr>
          <w:rFonts w:ascii="Times New Roman" w:cs="Times New Roman" w:eastAsia="Times New Roman" w:hAnsi="Times New Roman"/>
          <w:sz w:val="12"/>
          <w:szCs w:val="12"/>
          <w:color w:val="auto"/>
        </w:rPr>
        <w:t>We consent to the reference to our firm under the caption “Experts” in this Registration Statement (Form S-3) and related Prospectus of Autolus Therapeutics plc for the registration of ordinary shares, American Depositary Shares representing ordinary shares, debt securities and warrants and to the incorporation by reference therein of our report dated March 27, 2026, with respect to the consolidated financial statements of Autolus Therapeutics plc, included in its Annual Report (Form 10-K) for the year ended December 31, 2025, filed with the Securities and Exchange Commission.</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Reading, United Kingdom</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April 10, 2026</w:t>
      </w:r>
    </w:p>
    <w:p>
      <w:pPr>
        <w:sectPr>
          <w:pgSz w:w="11900" w:h="16838" w:orient="portrait"/>
          <w:cols w:equalWidth="0" w:num="1">
            <w:col w:w="9019"/>
          </w:cols>
          <w:pgMar w:left="1440" w:top="123" w:right="1440" w:bottom="1440" w:gutter="0" w:footer="0" w:header="0"/>
        </w:sectPr>
      </w:pPr>
    </w:p>
    <w:bookmarkStart w:id="83" w:name="page84"/>
    <w:bookmarkEnd w:id="83"/>
    <w:p>
      <w:pPr>
        <w:spacing w:after="0" w:line="25"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Autolus Therapeutics plc</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5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7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4"/>
        </w:trPr>
        <w:tc>
          <w:tcPr>
            <w:tcW w:w="1840" w:type="dxa"/>
            <w:vAlign w:val="bottom"/>
          </w:tcPr>
          <w:p>
            <w:pPr>
              <w:jc w:val="center"/>
              <w:ind w:left="878"/>
              <w:spacing w:after="0"/>
              <w:rPr>
                <w:sz w:val="20"/>
                <w:szCs w:val="20"/>
                <w:color w:val="auto"/>
              </w:rPr>
            </w:pPr>
            <w:r>
              <w:rPr>
                <w:rFonts w:ascii="Arial" w:cs="Arial" w:eastAsia="Arial" w:hAnsi="Arial"/>
                <w:sz w:val="16"/>
                <w:szCs w:val="16"/>
                <w:b w:val="1"/>
                <w:bCs w:val="1"/>
                <w:color w:val="auto"/>
              </w:rPr>
              <w:t>Security</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Calculation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25"/>
              <w:spacing w:after="0"/>
              <w:rPr>
                <w:sz w:val="20"/>
                <w:szCs w:val="20"/>
                <w:color w:val="auto"/>
              </w:rPr>
            </w:pPr>
            <w:r>
              <w:rPr>
                <w:rFonts w:ascii="Arial" w:cs="Arial" w:eastAsia="Arial" w:hAnsi="Arial"/>
                <w:sz w:val="16"/>
                <w:szCs w:val="16"/>
                <w:b w:val="1"/>
                <w:bCs w:val="1"/>
                <w:color w:val="auto"/>
              </w:rPr>
              <w:t>Amount of</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2"/>
        </w:trPr>
        <w:tc>
          <w:tcPr>
            <w:tcW w:w="1840" w:type="dxa"/>
            <w:vAlign w:val="bottom"/>
            <w:vMerge w:val="restart"/>
          </w:tcPr>
          <w:p>
            <w:pPr>
              <w:jc w:val="center"/>
              <w:ind w:left="898"/>
              <w:spacing w:after="0"/>
              <w:rPr>
                <w:sz w:val="20"/>
                <w:szCs w:val="20"/>
                <w:color w:val="auto"/>
              </w:rPr>
            </w:pPr>
            <w:r>
              <w:rPr>
                <w:rFonts w:ascii="Arial" w:cs="Arial" w:eastAsia="Arial" w:hAnsi="Arial"/>
                <w:sz w:val="16"/>
                <w:szCs w:val="16"/>
                <w:b w:val="1"/>
                <w:bCs w:val="1"/>
                <w:color w:val="auto"/>
              </w:rPr>
              <w:t>Type</w:t>
            </w:r>
          </w:p>
        </w:tc>
        <w:tc>
          <w:tcPr>
            <w:tcW w:w="80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Class</w:t>
            </w:r>
          </w:p>
        </w:tc>
        <w:tc>
          <w:tcPr>
            <w:tcW w:w="96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or Carry</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Offering</w:t>
            </w:r>
          </w:p>
        </w:tc>
        <w:tc>
          <w:tcPr>
            <w:tcW w:w="118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Aggregate</w:t>
            </w:r>
          </w:p>
        </w:tc>
        <w:tc>
          <w:tcPr>
            <w:tcW w:w="1820" w:type="dxa"/>
            <w:vAlign w:val="bottom"/>
          </w:tcPr>
          <w:p>
            <w:pPr>
              <w:ind w:left="60"/>
              <w:spacing w:after="0" w:line="112" w:lineRule="exact"/>
              <w:rPr>
                <w:sz w:val="20"/>
                <w:szCs w:val="20"/>
                <w:color w:val="auto"/>
              </w:rPr>
            </w:pPr>
            <w:r>
              <w:rPr>
                <w:rFonts w:ascii="Arial" w:cs="Arial" w:eastAsia="Arial" w:hAnsi="Arial"/>
                <w:sz w:val="12"/>
                <w:szCs w:val="12"/>
                <w:b w:val="1"/>
                <w:bCs w:val="1"/>
                <w:color w:val="auto"/>
              </w:rPr>
              <w:t>Fee Rate Registration</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Form</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w:t>
            </w:r>
          </w:p>
        </w:tc>
        <w:tc>
          <w:tcPr>
            <w:tcW w:w="72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Initial</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4"/>
        </w:trPr>
        <w:tc>
          <w:tcPr>
            <w:tcW w:w="1840" w:type="dxa"/>
            <w:vAlign w:val="bottom"/>
            <w:vMerge w:val="continue"/>
          </w:tcPr>
          <w:p>
            <w:pPr>
              <w:spacing w:after="0"/>
              <w:rPr>
                <w:sz w:val="14"/>
                <w:szCs w:val="14"/>
                <w:color w:val="auto"/>
              </w:rPr>
            </w:pPr>
          </w:p>
        </w:tc>
        <w:tc>
          <w:tcPr>
            <w:tcW w:w="80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900" w:type="dxa"/>
            <w:vAlign w:val="bottom"/>
            <w:vMerge w:val="continue"/>
          </w:tcPr>
          <w:p>
            <w:pPr>
              <w:spacing w:after="0"/>
              <w:rPr>
                <w:sz w:val="14"/>
                <w:szCs w:val="14"/>
                <w:color w:val="auto"/>
              </w:rPr>
            </w:pPr>
          </w:p>
        </w:tc>
        <w:tc>
          <w:tcPr>
            <w:tcW w:w="80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45"/>
              <w:spacing w:after="0" w:line="164" w:lineRule="exact"/>
              <w:rPr>
                <w:sz w:val="20"/>
                <w:szCs w:val="20"/>
                <w:color w:val="auto"/>
              </w:rPr>
            </w:pPr>
            <w:r>
              <w:rPr>
                <w:rFonts w:ascii="Arial" w:cs="Arial" w:eastAsia="Arial" w:hAnsi="Arial"/>
                <w:sz w:val="16"/>
                <w:szCs w:val="16"/>
                <w:b w:val="1"/>
                <w:bCs w:val="1"/>
                <w:color w:val="auto"/>
              </w:rPr>
              <w:t>Fee</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Effective</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Rule</w:t>
            </w:r>
          </w:p>
        </w:tc>
        <w:tc>
          <w:tcPr>
            <w:tcW w:w="900" w:type="dxa"/>
            <w:vAlign w:val="bottom"/>
          </w:tcPr>
          <w:p>
            <w:pPr>
              <w:spacing w:after="0"/>
              <w:rPr>
                <w:sz w:val="15"/>
                <w:szCs w:val="15"/>
                <w:color w:val="auto"/>
              </w:rPr>
            </w:pPr>
          </w:p>
        </w:tc>
        <w:tc>
          <w:tcPr>
            <w:tcW w:w="8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Unit</w:t>
            </w: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96"/>
              </w:rPr>
              <w:t>Type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-878205</wp:posOffset>
            </wp:positionV>
            <wp:extent cx="7215505" cy="4454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15505" cy="4454525"/>
                    </a:xfrm>
                    <a:prstGeom prst="rect">
                      <a:avLst/>
                    </a:prstGeom>
                    <a:noFill/>
                  </pic:spPr>
                </pic:pic>
              </a:graphicData>
            </a:graphic>
          </wp:anchor>
        </w:drawing>
      </w:r>
    </w:p>
    <w:p>
      <w:pPr>
        <w:jc w:val="center"/>
        <w:ind w:left="10460"/>
        <w:spacing w:after="0" w:line="190" w:lineRule="auto"/>
        <w:rPr>
          <w:sz w:val="20"/>
          <w:szCs w:val="20"/>
          <w:color w:val="auto"/>
        </w:rPr>
      </w:pPr>
      <w:r>
        <w:rPr>
          <w:rFonts w:ascii="Arial" w:cs="Arial" w:eastAsia="Arial" w:hAnsi="Arial"/>
          <w:sz w:val="14"/>
          <w:szCs w:val="14"/>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Ordinary</w:t>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shares,</w:t>
      </w:r>
    </w:p>
    <w:p>
      <w:pPr>
        <w:ind w:left="1180"/>
        <w:spacing w:after="0" w:line="187" w:lineRule="auto"/>
        <w:tabs>
          <w:tab w:leader="none" w:pos="1860" w:val="left"/>
          <w:tab w:leader="none" w:pos="288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1"/>
          <w:szCs w:val="21"/>
          <w:color w:val="auto"/>
          <w:vertAlign w:val="superscript"/>
        </w:rPr>
        <w:t>nominal</w:t>
      </w:r>
      <w:r>
        <w:rPr>
          <w:sz w:val="20"/>
          <w:szCs w:val="20"/>
          <w:color w:val="auto"/>
        </w:rPr>
        <w:tab/>
      </w:r>
      <w:r>
        <w:rPr>
          <w:rFonts w:ascii="Arial" w:cs="Arial" w:eastAsia="Arial" w:hAnsi="Arial"/>
          <w:sz w:val="12"/>
          <w:szCs w:val="12"/>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value</w:t>
      </w:r>
    </w:p>
    <w:p>
      <w:pPr>
        <w:ind w:left="1880"/>
        <w:spacing w:after="0"/>
        <w:rPr>
          <w:sz w:val="20"/>
          <w:szCs w:val="20"/>
          <w:color w:val="auto"/>
        </w:rPr>
      </w:pPr>
      <w:r>
        <w:rPr>
          <w:rFonts w:ascii="Arial" w:cs="Arial" w:eastAsia="Arial" w:hAnsi="Arial"/>
          <w:sz w:val="16"/>
          <w:szCs w:val="16"/>
          <w:color w:val="auto"/>
        </w:rPr>
        <w:t>$0.000042</w:t>
      </w:r>
    </w:p>
    <w:p>
      <w:pPr>
        <w:ind w:left="1880"/>
        <w:spacing w:after="0"/>
        <w:rPr>
          <w:sz w:val="20"/>
          <w:szCs w:val="20"/>
          <w:color w:val="auto"/>
        </w:rPr>
      </w:pPr>
      <w:r>
        <w:rPr>
          <w:rFonts w:ascii="Arial" w:cs="Arial" w:eastAsia="Arial" w:hAnsi="Arial"/>
          <w:sz w:val="16"/>
          <w:szCs w:val="16"/>
          <w:color w:val="auto"/>
        </w:rPr>
        <w:t>per share</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3"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4"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20"/>
              <w:spacing w:after="0" w:line="164"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98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r>
        <w:trPr>
          <w:trHeight w:val="215"/>
        </w:trPr>
        <w:tc>
          <w:tcPr>
            <w:tcW w:w="76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jc w:val="right"/>
              <w:spacing w:after="0"/>
              <w:rPr>
                <w:sz w:val="20"/>
                <w:szCs w:val="20"/>
                <w:color w:val="auto"/>
              </w:rPr>
            </w:pPr>
            <w:r>
              <w:rPr>
                <w:rFonts w:ascii="Arial" w:cs="Arial" w:eastAsia="Arial" w:hAnsi="Arial"/>
                <w:sz w:val="16"/>
                <w:szCs w:val="16"/>
                <w:color w:val="auto"/>
              </w:rPr>
              <w:t>150,000,000.00</w:t>
            </w: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E7E7E2"/>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3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150,000,000.00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120" w:hanging="168"/>
        <w:spacing w:after="0"/>
        <w:tabs>
          <w:tab w:leader="none" w:pos="200" w:val="left"/>
        </w:tabs>
        <w:numPr>
          <w:ilvl w:val="0"/>
          <w:numId w:val="83"/>
        </w:numPr>
        <w:rPr>
          <w:rFonts w:ascii="Arial" w:cs="Arial" w:eastAsia="Arial" w:hAnsi="Arial"/>
          <w:sz w:val="20"/>
          <w:szCs w:val="20"/>
          <w:color w:val="auto"/>
          <w:vertAlign w:val="superscript"/>
        </w:rPr>
      </w:pPr>
      <w:r>
        <w:rPr>
          <w:rFonts w:ascii="Arial" w:cs="Arial" w:eastAsia="Arial" w:hAnsi="Arial"/>
          <w:sz w:val="16"/>
          <w:szCs w:val="16"/>
          <w:color w:val="auto"/>
        </w:rPr>
        <w:t>(1) These ordinary shares are represented by American Depositary Shares, or ADSs, each of which represents one ordinary share of the Registrant. ADSs issuable on deposit of the ordinary shares registered hereby have been registered pursuant to a separate registration statement on Form F-6 (File No. 333-224837). (2) There are being registered hereunder such indeterminate number of the securities of each identified class being registered as may be sold by the Registrant from time to time at indeterminate prices, with the maximum aggregate offering price not to exceed $150,000,000. If any debt securities are issued at an original issue discount, then the offering price of such debt securities shall be in such greater principal amount as shall result in an aggregate offering price not to exceed $150,000,000,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ordinary shares represented by ADSs and the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or the Securities Act, the ordinary shares represented by ADSs being registered hereunder include such indeterminate number of ordinary shares as may be issuable with respect to the ordinary shares being registered hereunder as a result of stock splits, stock dividends or similar transactions. (3) The proposed maximum offering price per unit of security will be determined from time to time by the Registrant in connection with the issuance by the Registrant of the securities registered hereunder and is not specified as to each class of security pursuant to General Instruction II.D. of Form S-3 under the Securities Act. (4) The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163830</wp:posOffset>
            </wp:positionV>
            <wp:extent cx="71520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-969010</wp:posOffset>
            </wp:positionV>
            <wp:extent cx="12700" cy="2179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12700" cy="21793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-969010</wp:posOffset>
            </wp:positionV>
            <wp:extent cx="12700" cy="2179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12700" cy="217932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246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13905" cy="246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-109220</wp:posOffset>
            </wp:positionV>
            <wp:extent cx="7113905" cy="133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13905" cy="133350"/>
                    </a:xfrm>
                    <a:prstGeom prst="rect">
                      <a:avLst/>
                    </a:prstGeom>
                    <a:noFill/>
                  </pic:spPr>
                </pic:pic>
              </a:graphicData>
            </a:graphic>
          </wp:anchor>
        </w:drawing>
      </w:r>
    </w:p>
    <w:p>
      <w:pPr>
        <w:sectPr>
          <w:pgSz w:w="11900" w:h="16863" w:orient="portrait"/>
          <w:cols w:equalWidth="0" w:num="1">
            <w:col w:w="11360"/>
          </w:cols>
          <w:pgMar w:left="300" w:top="141" w:right="239" w:bottom="0" w:gutter="0" w:footer="0" w:header="0"/>
        </w:sectPr>
      </w:pPr>
    </w:p>
    <w:bookmarkStart w:id="84" w:name="page85"/>
    <w:bookmarkEnd w:id="84"/>
    <w:p>
      <w:pPr>
        <w:ind w:left="40"/>
        <w:spacing w:after="0"/>
        <w:rPr>
          <w:sz w:val="20"/>
          <w:szCs w:val="20"/>
          <w:color w:val="auto"/>
        </w:rPr>
      </w:pPr>
      <w:r>
        <w:rPr>
          <w:rFonts w:ascii="Arial" w:cs="Arial" w:eastAsia="Arial" w:hAnsi="Arial"/>
          <w:sz w:val="16"/>
          <w:szCs w:val="16"/>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69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1690" cy="145415"/>
                    </a:xfrm>
                    <a:prstGeom prst="rect">
                      <a:avLst/>
                    </a:prstGeom>
                    <a:noFill/>
                  </pic:spPr>
                </pic:pic>
              </a:graphicData>
            </a:graphic>
          </wp:anchor>
        </w:drawing>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lowerRoman"/>
      <w:start w:val="1"/>
    </w:lvl>
  </w:abstractNum>
  <w:abstractNum w:abstractNumId="14">
    <w:nsid w:val="684A481A"/>
    <w:multiLevelType w:val="hybridMultilevel"/>
    <w:lvl w:ilvl="0">
      <w:lvlJc w:val="left"/>
      <w:lvlText w:val="(%1)"/>
      <w:numFmt w:val="lowerRoman"/>
      <w:start w:val="3"/>
    </w:lvl>
  </w:abstractNum>
  <w:abstractNum w:abstractNumId="15">
    <w:nsid w:val="579478FE"/>
    <w:multiLevelType w:val="hybridMultilevel"/>
    <w:lvl w:ilvl="0">
      <w:lvlJc w:val="left"/>
      <w:lvlText w:val="(%1)"/>
      <w:numFmt w:val="lowerRoman"/>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Roman"/>
      <w:start w:val="1"/>
    </w:lvl>
  </w:abstractNum>
  <w:abstractNum w:abstractNumId="18">
    <w:nsid w:val="1BA026FA"/>
    <w:multiLevelType w:val="hybridMultilevel"/>
    <w:lvl w:ilvl="0">
      <w:lvlJc w:val="left"/>
      <w:lvlText w:val="(%1)"/>
      <w:numFmt w:val="lowerRoman"/>
      <w:start w:val="2"/>
    </w:lvl>
  </w:abstractNum>
  <w:abstractNum w:abstractNumId="19">
    <w:nsid w:val="79A1DEAA"/>
    <w:multiLevelType w:val="hybridMultilevel"/>
    <w:lvl w:ilvl="0">
      <w:lvlJc w:val="left"/>
      <w:lvlText w:val="(%1)"/>
      <w:numFmt w:val="lowerRoman"/>
      <w:start w:val="1"/>
    </w:lvl>
  </w:abstractNum>
  <w:abstractNum w:abstractNumId="20">
    <w:nsid w:val="75C6C33A"/>
    <w:multiLevelType w:val="hybridMultilevel"/>
    <w:lvl w:ilvl="0">
      <w:lvlJc w:val="left"/>
      <w:lvlText w:val="(%1)"/>
      <w:numFmt w:val="lowerRoman"/>
      <w:start w:val="2"/>
    </w:lvl>
  </w:abstractNum>
  <w:abstractNum w:abstractNumId="21">
    <w:nsid w:val="12E685FB"/>
    <w:multiLevelType w:val="hybridMultilevel"/>
    <w:lvl w:ilvl="0">
      <w:lvlJc w:val="left"/>
      <w:lvlText w:val="(%1)"/>
      <w:numFmt w:val="lowerRoman"/>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lowerRoman"/>
      <w:start w:val="3"/>
    </w:lvl>
  </w:abstractNum>
  <w:abstractNum w:abstractNumId="54">
    <w:nsid w:val="6590700B"/>
    <w:multiLevelType w:val="hybridMultilevel"/>
    <w:lvl w:ilvl="0">
      <w:lvlJc w:val="left"/>
      <w:lvlText w:val=" "/>
      <w:numFmt w:val="bullet"/>
      <w:start w:val="1"/>
    </w:lvl>
  </w:abstractNum>
  <w:abstractNum w:abstractNumId="55">
    <w:nsid w:val="15014ACB"/>
    <w:multiLevelType w:val="hybridMultilevel"/>
    <w:lvl w:ilvl="0">
      <w:lvlJc w:val="left"/>
      <w:lvlText w:val=" "/>
      <w:numFmt w:val="bullet"/>
      <w:start w:val="1"/>
    </w:lvl>
  </w:abstractNum>
  <w:abstractNum w:abstractNumId="56">
    <w:nsid w:val="5F5E7FD0"/>
    <w:multiLevelType w:val="hybridMultilevel"/>
    <w:lvl w:ilvl="0">
      <w:lvlJc w:val="left"/>
      <w:lvlText w:val=" "/>
      <w:numFmt w:val="bullet"/>
      <w:start w:val="1"/>
    </w:lvl>
  </w:abstractNum>
  <w:abstractNum w:abstractNumId="57">
    <w:nsid w:val="98A3148"/>
    <w:multiLevelType w:val="hybridMultilevel"/>
    <w:lvl w:ilvl="0">
      <w:lvlJc w:val="left"/>
      <w:lvlText w:val="%1"/>
      <w:numFmt w:val="decimal"/>
      <w:start w:val="107"/>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1">
    <w:nsid w:val="168E121F"/>
    <w:multiLevelType w:val="hybridMultilevel"/>
    <w:lvl w:ilvl="0">
      <w:lvlJc w:val="left"/>
      <w:lvlText w:val="(%1)"/>
      <w:numFmt w:val="decimal"/>
      <w:start w:val="2"/>
    </w:lvl>
    <w:lvl w:ilvl="1">
      <w:lvlJc w:val="left"/>
      <w:lvlText w:val="(%2)"/>
      <w:numFmt w:val="lowerRoman"/>
      <w:start w:val="1"/>
    </w:lvl>
  </w:abstractNum>
  <w:abstractNum w:abstractNumId="62">
    <w:nsid w:val="1EBA5D23"/>
    <w:multiLevelType w:val="hybridMultilevel"/>
    <w:lvl w:ilvl="0">
      <w:lvlJc w:val="left"/>
      <w:lvlText w:val="%1"/>
      <w:numFmt w:val="decimal"/>
      <w:start w:val="1"/>
    </w:lvl>
    <w:lvl w:ilvl="1">
      <w:lvlJc w:val="left"/>
      <w:lvlText w:val="(%2)"/>
      <w:numFmt w:val="lowerRoman"/>
      <w:start w:val="2"/>
    </w:lvl>
  </w:abstractNum>
  <w:abstractNum w:abstractNumId="63">
    <w:nsid w:val="661E3F1E"/>
    <w:multiLevelType w:val="hybridMultilevel"/>
    <w:lvl w:ilvl="0">
      <w:lvlJc w:val="left"/>
      <w:lvlText w:val="(%1)"/>
      <w:numFmt w:val="decimal"/>
      <w:start w:val="6"/>
    </w:lvl>
    <w:lvl w:ilvl="1">
      <w:lvlJc w:val="left"/>
      <w:lvlText w:val="(%2)"/>
      <w:numFmt w:val="lowerRoman"/>
      <w:start w:val="1"/>
    </w:lvl>
  </w:abstractNum>
  <w:abstractNum w:abstractNumId="64">
    <w:nsid w:val="5DC79EA8"/>
    <w:multiLevelType w:val="hybridMultilevel"/>
    <w:lvl w:ilvl="0">
      <w:lvlJc w:val="left"/>
      <w:lvlText w:val="%1"/>
      <w:numFmt w:val="lowerRoman"/>
      <w:start w:val="1"/>
    </w:lvl>
    <w:lvl w:ilvl="1">
      <w:lvlJc w:val="left"/>
      <w:lvlText w:val="(%2)"/>
      <w:numFmt w:val="decimal"/>
      <w:start w:val="9"/>
    </w:lvl>
  </w:abstractNum>
  <w:abstractNum w:abstractNumId="65">
    <w:nsid w:val="540A471C"/>
    <w:multiLevelType w:val="hybridMultilevel"/>
    <w:lvl w:ilvl="0">
      <w:lvlJc w:val="left"/>
      <w:lvlText w:val="(%1)"/>
      <w:numFmt w:val="lowerRoman"/>
      <w:start w:val="2"/>
    </w:lvl>
    <w:lvl w:ilvl="1">
      <w:lvlJc w:val="left"/>
      <w:lvlText w:val="%2"/>
      <w:numFmt w:val="decimal"/>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lowerLetter"/>
      <w:start w:val="4"/>
    </w:lvl>
  </w:abstractNum>
  <w:abstractNum w:abstractNumId="68">
    <w:nsid w:val="613EFDC5"/>
    <w:multiLevelType w:val="hybridMultilevel"/>
    <w:lvl w:ilvl="0">
      <w:lvlJc w:val="left"/>
      <w:lvlText w:val="%1."/>
      <w:numFmt w:val="decimal"/>
      <w:start w:val="2"/>
    </w:lvl>
  </w:abstractNum>
  <w:abstractNum w:abstractNumId="69">
    <w:nsid w:val="BF72B14"/>
    <w:multiLevelType w:val="hybridMultilevel"/>
    <w:lvl w:ilvl="0">
      <w:lvlJc w:val="left"/>
      <w:lvlText w:val="%1"/>
      <w:numFmt w:val="decimal"/>
      <w:start w:val="1"/>
    </w:lvl>
    <w:lvl w:ilvl="1">
      <w:lvlJc w:val="left"/>
      <w:lvlText w:val="(%2)"/>
      <w:numFmt w:val="lowerLetter"/>
      <w:start w:val="1"/>
    </w:lvl>
  </w:abstractNum>
  <w:abstractNum w:abstractNumId="70">
    <w:nsid w:val="11447B73"/>
    <w:multiLevelType w:val="hybridMultilevel"/>
    <w:lvl w:ilvl="0">
      <w:lvlJc w:val="left"/>
      <w:lvlText w:val="%1."/>
      <w:numFmt w:val="decimal"/>
      <w:start w:val="3"/>
    </w:lvl>
    <w:lvl w:ilvl="1">
      <w:lvlJc w:val="left"/>
      <w:lvlText w:val="%2"/>
      <w:numFmt w:val="lowerLetter"/>
      <w:start w:val="1"/>
    </w:lvl>
  </w:abstractNum>
  <w:abstractNum w:abstractNumId="71">
    <w:nsid w:val="42963E5A"/>
    <w:multiLevelType w:val="hybridMultilevel"/>
    <w:lvl w:ilvl="0">
      <w:lvlJc w:val="left"/>
      <w:lvlText w:val="%1."/>
      <w:numFmt w:val="decimal"/>
      <w:start w:val="4"/>
    </w:lvl>
  </w:abstractNum>
  <w:abstractNum w:abstractNumId="72">
    <w:nsid w:val="A0382C5"/>
    <w:multiLevelType w:val="hybridMultilevel"/>
    <w:lvl w:ilvl="0">
      <w:lvlJc w:val="left"/>
      <w:lvlText w:val="%1."/>
      <w:numFmt w:val="decimal"/>
      <w:start w:val="5"/>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decimal"/>
      <w:start w:val="6"/>
    </w:lvl>
  </w:abstractNum>
  <w:abstractNum w:abstractNumId="75">
    <w:nsid w:val="3B0FD379"/>
    <w:multiLevelType w:val="hybridMultilevel"/>
    <w:lvl w:ilvl="0">
      <w:lvlJc w:val="left"/>
      <w:lvlText w:val="%1."/>
      <w:numFmt w:val="decimal"/>
      <w:start w:val="7"/>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8"/>
    </w:lvl>
  </w:abstractNum>
  <w:abstractNum w:abstractNumId="78">
    <w:nsid w:val="60B6DF70"/>
    <w:multiLevelType w:val="hybridMultilevel"/>
    <w:lvl w:ilvl="0">
      <w:lvlJc w:val="left"/>
      <w:lvlText w:val="%1:"/>
      <w:numFmt w:val="upperLetter"/>
      <w:start w:val="20"/>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2"/>
    </w:lvl>
  </w:abstractNum>
  <w:abstractNum w:abstractNumId="82">
    <w:nsid w:val="1A2770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jpe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jpeg"/><Relationship Id="rId132" Type="http://schemas.openxmlformats.org/officeDocument/2006/relationships/image" Target="media/image112.png"/><Relationship Id="rId133" Type="http://schemas.openxmlformats.org/officeDocument/2006/relationships/image" Target="media/image113.jpeg"/><Relationship Id="rId134" Type="http://schemas.openxmlformats.org/officeDocument/2006/relationships/image" Target="media/image114.png"/><Relationship Id="rId135" Type="http://schemas.openxmlformats.org/officeDocument/2006/relationships/image" Target="media/image115.jpeg"/><Relationship Id="rId136" Type="http://schemas.openxmlformats.org/officeDocument/2006/relationships/image" Target="media/image116.png"/><Relationship Id="rId137" Type="http://schemas.openxmlformats.org/officeDocument/2006/relationships/image" Target="media/image117.jpe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98" Type="http://schemas.openxmlformats.org/officeDocument/2006/relationships/hyperlink" Target="http://www.sec.gov/ix?doc=/Archives/edgar/data/1730463/000173046326000038/autl-20251231.htm" TargetMode="External"/><Relationship Id="rId99" Type="http://schemas.openxmlformats.org/officeDocument/2006/relationships/hyperlink" Target="http://www.sec.gov/Archives/edgar/data/1730463/000173046326000012/autl-20260112.htm" TargetMode="External"/><Relationship Id="rId100" Type="http://schemas.openxmlformats.org/officeDocument/2006/relationships/hyperlink" Target="http://www.sec.gov/Archives/edgar/data/1730463/000173046326000019/autl-20260121.htm" TargetMode="External"/><Relationship Id="rId101" Type="http://schemas.openxmlformats.org/officeDocument/2006/relationships/hyperlink" Target="http://www.sec.gov/Archives/edgar/data/1730463/000119312518196920/d531832d8a12b.htm" TargetMode="External"/><Relationship Id="rId105" Type="http://schemas.openxmlformats.org/officeDocument/2006/relationships/hyperlink" Target="http://www.sec.gov/Archives/edgar/data/1730463/000119312518196344/d531832dex31.htm" TargetMode="External"/><Relationship Id="rId106" Type="http://schemas.openxmlformats.org/officeDocument/2006/relationships/hyperlink" Target="http://www.sec.gov/Archives/edgar/data/1730463/000119312518159377/d531832dex41.htm" TargetMode="External"/><Relationship Id="rId107" Type="http://schemas.openxmlformats.org/officeDocument/2006/relationships/hyperlink" Target="http://www.sec.gov/Archives/edgar/data/1730463/000173046318000005/autolusexhibit23.htm" TargetMode="External"/><Relationship Id="rId108" Type="http://schemas.openxmlformats.org/officeDocument/2006/relationships/hyperlink" Target="http://www.sec.gov/Archives/edgar/data/1730463/000119312521323226/d241160dex993.htm" TargetMode="External"/><Relationship Id="rId109" Type="http://schemas.openxmlformats.org/officeDocument/2006/relationships/hyperlink" Target="http://www.sec.gov/Archives/edgar/data/1730463/000162828020002797/autlexhibit24-descriptiono.htm" TargetMode="External"/><Relationship Id="rId110" Type="http://schemas.openxmlformats.org/officeDocument/2006/relationships/hyperlink" Target="http://www.sec.gov/Archives/edgar/data/1730463/000119312521323226/d241160dex992.htm" TargetMode="External"/><Relationship Id="rId111" Type="http://schemas.openxmlformats.org/officeDocument/2006/relationships/hyperlink" Target="http://www.sec.gov/Archives/edgar/data/1730463/000119312524027180/d649462dex47.htm" TargetMode="External"/><Relationship Id="rId112" Type="http://schemas.openxmlformats.org/officeDocument/2006/relationships/hyperlink" Target="http://www.sec.gov/Archives/edgar/data/1730463/000119312524027180/d649462dex49.htm" TargetMode="External"/><Relationship Id="rId113" Type="http://schemas.openxmlformats.org/officeDocument/2006/relationships/hyperlink" Target="http://www.sec.gov/Archives/edgar/data/1730463/000119312524027180/d649462d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2026-04-13T05:04:51Z</dcterms:created>
  <dcterms:modified xsi:type="dcterms:W3CDTF">2026-04-13T05:04:51Z</dcterms:modified>
</cp:coreProperties>
</file>