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965d8k.htm"/>
      <w:bookmarkStart w:id="1" w:name="ksd15696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Autolus Therapeutics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2285"/>
        <w:gridCol w:w="60"/>
        <w:gridCol w:w="1055"/>
        <w:gridCol w:w="60"/>
        <w:gridCol w:w="1505"/>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001-38547</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b/>
              </w:rPr>
            </w:pPr>
            <w:bookmarkStart w:id="2" w:name="Fact_10"/>
            <w:bookmarkEnd w:id="2"/>
            <w:r>
              <w:rPr>
                <w:b/>
              </w:rPr>
              <w:t>Not applicable</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The Mediaworks</w:t>
      </w:r>
    </w:p>
    <w:p>
      <w:pPr>
        <w:pStyle w:val="TextBody"/>
        <w:bidi w:val="0"/>
        <w:spacing w:before="0" w:after="0"/>
        <w:jc w:val="center"/>
        <w:rPr>
          <w:rFonts w:ascii="Times New Roman" w:hAnsi="Times New Roman"/>
          <w:b/>
          <w:sz w:val="20"/>
        </w:rPr>
      </w:pPr>
      <w:r>
        <w:rPr>
          <w:rFonts w:ascii="Times New Roman" w:hAnsi="Times New Roman"/>
          <w:b/>
          <w:sz w:val="20"/>
        </w:rPr>
        <w:t>191 Wood Lane</w:t>
      </w:r>
    </w:p>
    <w:p>
      <w:pPr>
        <w:pStyle w:val="TextBody"/>
        <w:bidi w:val="0"/>
        <w:spacing w:before="0" w:after="0"/>
        <w:jc w:val="center"/>
        <w:rPr>
          <w:rFonts w:ascii="Times New Roman" w:hAnsi="Times New Roman"/>
          <w:b/>
          <w:sz w:val="20"/>
        </w:rPr>
      </w:pPr>
      <w:r>
        <w:rPr>
          <w:rFonts w:ascii="Times New Roman" w:hAnsi="Times New Roman"/>
          <w:b/>
          <w:sz w:val="20"/>
        </w:rPr>
        <w:t>London W12 7FP</w:t>
      </w:r>
    </w:p>
    <w:p>
      <w:pPr>
        <w:pStyle w:val="TextBody"/>
        <w:bidi w:val="0"/>
        <w:spacing w:before="0" w:after="0"/>
        <w:jc w:val="center"/>
        <w:rPr>
          <w:rFonts w:ascii="Times New Roman" w:hAnsi="Times New Roman"/>
          <w:b/>
          <w:sz w:val="20"/>
        </w:rPr>
      </w:pPr>
      <w:r>
        <w:rPr>
          <w:rFonts w:ascii="Times New Roman" w:hAnsi="Times New Roman"/>
          <w:b/>
          <w:sz w:val="20"/>
        </w:rPr>
        <w:t>United Kingdom</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offices)(Zip Code)</w:t>
      </w:r>
    </w:p>
    <w:p>
      <w:pPr>
        <w:pStyle w:val="TextBody"/>
        <w:bidi w:val="0"/>
        <w:spacing w:before="240" w:after="0"/>
        <w:jc w:val="center"/>
        <w:rPr>
          <w:rFonts w:ascii="Times New Roman" w:hAnsi="Times New Roman"/>
          <w:b/>
          <w:sz w:val="20"/>
        </w:rPr>
      </w:pPr>
      <w:r>
        <w:rPr>
          <w:rFonts w:ascii="Times New Roman" w:hAnsi="Times New Roman"/>
          <w:b/>
          <w:sz w:val="20"/>
        </w:rPr>
        <w:t>(44) 20 3829 6230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35"/>
        <w:gridCol w:w="60"/>
        <w:gridCol w:w="720"/>
        <w:gridCol w:w="60"/>
        <w:gridCol w:w="2430"/>
      </w:tblGrid>
      <w:tr>
        <w:trPr/>
        <w:tc>
          <w:tcPr>
            <w:tcW w:w="6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6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4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6935" w:type="dxa"/>
            <w:tcBorders/>
            <w:vAlign w:val="center"/>
          </w:tcPr>
          <w:p>
            <w:pPr>
              <w:pStyle w:val="TableContents"/>
              <w:bidi w:val="0"/>
              <w:spacing w:before="0" w:after="283"/>
              <w:jc w:val="center"/>
              <w:rPr/>
            </w:pPr>
            <w:r>
              <w:rPr/>
              <w:t>American Depositary Shares, each representing one ordinary share, nominal value $0.000042 per share</w:t>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t>AUTL</w:t>
            </w:r>
          </w:p>
        </w:tc>
        <w:tc>
          <w:tcPr>
            <w:tcW w:w="6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The Nasdaq Global Select Market</w:t>
            </w:r>
          </w:p>
        </w:tc>
      </w:tr>
      <w:tr>
        <w:trPr/>
        <w:tc>
          <w:tcPr>
            <w:tcW w:w="6935" w:type="dxa"/>
            <w:tcBorders/>
            <w:vAlign w:val="center"/>
          </w:tcPr>
          <w:p>
            <w:pPr>
              <w:pStyle w:val="TableContents"/>
              <w:bidi w:val="0"/>
              <w:spacing w:before="0" w:after="283"/>
              <w:jc w:val="center"/>
              <w:rPr/>
            </w:pPr>
            <w:r>
              <w:rPr/>
              <w:t>Ordinary shares, nominal value $0.000042 per share*</w:t>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The Nasdaq Stock Market LLC*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Perceptive Senior Secured Notes Facility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(the “Closing Date”), Autolus Therapeutics plc (the “Company”) entered into a Note Purchase Agreement and Guaranty (the “Note Purchase Agreement”) with certain subsidiaries of the Company, as guarantors, the noteholders party thereto and Perceptive Credit Holdings V, LP (“Perceptive”), as administrative agent for the noteholders (in such capacity, together with permitted successors and assigns, the “Agent”). The Note Purchase Agreement provides for a senior secured notes facility in an aggregate principal amount of up to $250.0 million (the “Notes Facility” and the senior secured notes issued thereunder,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On the Closing Date, the Company issued the first tranche of notes under the Note Purchase Agreement in an aggregate principal amount of $75.0 million (the “Tranche 1 Notes”). The Notes Facility permits the Company to issue up to an additional $175.0 million of Notes, in three additional tranches. The second tranche in an aggregate principal amount of up to $25.0 million is available from the Closing Date through January 30, 2027 (the “Tranche 2 Notes”). The third tranche in an aggregate principal amount of up to $75.0 million (the “Tranche 3 Notes”) becomes available if the Company achieves certain Consolidated Net Revenue (as defined in the Note Purchase Agreement) levels prior to July 31, 2028, and the fourth tranche in an aggregate principal amount of up to $75.0 million (the “Tranche 4 Notes”) becomes available if the Company achieves certain Consolidated Net Revenue levels prior to January 31, 2030. </w:t>
      </w:r>
    </w:p>
    <w:p>
      <w:pPr>
        <w:pStyle w:val="TextBody"/>
        <w:bidi w:val="0"/>
        <w:spacing w:before="240" w:after="0"/>
        <w:jc w:val="left"/>
        <w:rPr>
          <w:rFonts w:ascii="Times New Roman" w:hAnsi="Times New Roman"/>
          <w:sz w:val="20"/>
        </w:rPr>
      </w:pPr>
      <w:r>
        <w:rPr>
          <w:rFonts w:ascii="Times New Roman" w:hAnsi="Times New Roman"/>
          <w:sz w:val="20"/>
        </w:rPr>
        <w:t xml:space="preserve">The Notes Facility has a maturity date of July 30, 2031 (the “Maturity Date”). The Notes Facility accrues interest, payable monthly in arrears, at an annual rate equal to the sum of (a) an applicable margin ranging from 6.75% to 7.25% based on the Consolidated Net Revenue for the most recently ended trailing twelve consecutive month period plus (b) the greater of (i) one-month term SOFR and (ii) 3.50%. Upon the occurrence and during the continuance of an event of default under the Note Purchase Agreement, the interest rate shall increase by an additional 4.00% per annum upon the request of the Agent and upon written notice to the Company, or automatically in the case of a payment or bankruptcy event of default. The Company paid upfront fees and other customary fees and expenses upon the issuance of the Tranche 1 Notes on the Closing Date. The Company will also be required to pay upfront fees and other customary fees and expenses upon each issuance of the Tranche 2 Notes, the Tranche 3 Notes or the Tranche 4 Notes under the Notes Facility. </w:t>
      </w:r>
    </w:p>
    <w:p>
      <w:pPr>
        <w:pStyle w:val="TextBody"/>
        <w:bidi w:val="0"/>
        <w:spacing w:before="240" w:after="0"/>
        <w:jc w:val="left"/>
        <w:rPr>
          <w:rFonts w:ascii="Times New Roman" w:hAnsi="Times New Roman"/>
          <w:sz w:val="20"/>
        </w:rPr>
      </w:pPr>
      <w:r>
        <w:rPr>
          <w:rFonts w:ascii="Times New Roman" w:hAnsi="Times New Roman"/>
          <w:sz w:val="20"/>
        </w:rPr>
        <w:t xml:space="preserve">Prior to the Maturity Date, there will be no scheduled principal payments under the Notes Facility. On the Maturity Date, the Company is required to pay the Agent the aggregate outstanding principal amount of the notes thereunder and all accrued and unpaid interest thereon. The outstanding notes under the Notes Facility may be redeemed at any time, subject to an early redemption premium ranging from 1% to 8% if such early redemption occurs prior to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obligations under the Note Purchase Agreement are guaranteed by certain of the Company’s wholly-owned subsidiaries, including Autolus Holdings (UK) Limited, Autolus Limited, Autolus Inc. and Autolus GmbH as of the Closing Date, and will be guaranteed by any future direct and indirect subsidiaries of the Company, other than any Excluded Subsidiaries (as defined in the Note Purchase Agreement). The Company’s obligations under the Note Purchase Agreement are secured by a first priority perfected security interest on substantially all of the existing and after-acquired assets of the Company and subsidiary guarantors,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Note Purchase Agreement contains certain representations and warranties, affirmative covenants, negative covenants, and events of default that are customarily required for similar financings. In addition, the Note Purchase Agreement contains financial covenants requiring the Company to (i) at all times prior to the Maturity Date, maintain a Minimum Liquidity Amount (as defined in the Note Purchase Agreement) ranging from $12.5 million to $50.0 million depending on certain Consolidated Net Revenue and market capitalization thresholds and (ii) as of each calculation date set forth in the Note Purchase Agreement, maintain Consolidated Net Revenue that is not less than the amounts specified in the Note Purchase Agreement. The occurrence of an event of default under the Note Purchase Agreement could result in, among other things, the declaration that all outstanding principal and interest thereunder are immediately due and payable in whole or in part.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Perceptive Warrants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the Company issued to Perceptive a warrant to purchase up to 3,500,000 of the Company’s American Depositary Shares (the “ADSs”) representing ordinary shares, on a one-for-one basis, with a nominal value of $0.000042 per share, with an exercise price of $1.9314 per ADS, which is a 25% premium to the 30-day volume weighted average sale price of the ADSs on NASDAQ as reported by Bloomberg for the period ending on the business day immediately preceding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each of the Tranche 3 Note and the Tranche 4 Note, respectively, the Company will issue to Perceptive an additional warrant to purchase up to 2,500,000 ADSs per tranche (which number of ADSs will be adjusted for any stock splits, stock combinations and the like that take place after the Closing Date and prior to the applicable issuance date), with an exercise price equal to the 30-day volume weighted average sale price of the ADSs on NASDAQ as reported by Bloomberg for the period ending on the business day immediately preceding such issuance date. </w:t>
      </w:r>
    </w:p>
    <w:p>
      <w:pPr>
        <w:pStyle w:val="TextBody"/>
        <w:bidi w:val="0"/>
        <w:spacing w:before="240" w:after="0"/>
        <w:jc w:val="left"/>
        <w:rPr>
          <w:rFonts w:ascii="Times New Roman" w:hAnsi="Times New Roman"/>
          <w:sz w:val="20"/>
        </w:rPr>
      </w:pPr>
      <w:r>
        <w:rPr>
          <w:rFonts w:ascii="Times New Roman" w:hAnsi="Times New Roman"/>
          <w:sz w:val="20"/>
        </w:rPr>
        <w:t xml:space="preserve">All the warrants, regardless of issuance date, will have an expiration date of July 30, 2036, may be exercised on a cashless and/or “net” basis, are freely transferable, and will be automatically exercised, on a cashless basis, prior to their expiration if the value of the shares underlying the respective warrant is greater than the then-applicable exercise price. The warrant exercise prices are subject to adjustment for certain recapitalization events, as further described in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 was, and the additional warrants will be, issued in reliance upon an exemption from registration contained in Section 4(a)(2) under the Securities Act. The warrants and the ADSs issuable thereunder may not be offered, sold, pledged or otherwise transferred in the United States absent registration or an applicable exemption from the registration requirements under the Securities Act.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in connection with the Note Purchase Agreement, the Company entered into a Registration Rights Agreement (the “Registration Rights Agreement”) with Perceptive, pursuant to which the Company agreed to prepare and file with the SEC, promptly following the Closing Date but no later than 45 calendar days following the Closing Date (the “Filing Deadline”), a registration statement (the “Initial Registration Statement”) covering the resale of all Registrable Securities relating to the warrant issued at the Closing Date and, to the extent eligible for inclusion, all Registrable Securities relating to the warrants issuable under the Note Purchase Agreement but not yet issued as of the Filing Deadline (including the warrants issuable at the Tranche 2 Notes, Tranche 3 Notes and Tranche 4 Notes issue dates). To the extent any such Registrable Securities are ineligible for inclusion in the Initial Registration Statement, the Company agreed to file an additional registration statement to register such securities within 45 calendar days of their becoming eligible for registration.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Note Purchase Agreement, the warrants and the Registration Rights Agreement is not complete and is qualified in its entirety by reference to the full text of each of the above-referenced documents, copies of which are filed as Exhibits 4.1, 10.1 and 10.2, respectively, to this Current Report on Form 8-K.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The information set forth in Item 1.01 under the heading “</w:t>
      </w:r>
      <w:r>
        <w:rPr>
          <w:rFonts w:ascii="Times New Roman" w:hAnsi="Times New Roman"/>
          <w:i/>
          <w:sz w:val="20"/>
        </w:rPr>
        <w:t>Perceptive Senior Secured Notes Facility</w:t>
      </w:r>
      <w:r>
        <w:rPr>
          <w:rFonts w:ascii="Times New Roman" w:hAnsi="Times New Roman"/>
          <w:sz w:val="20"/>
        </w:rPr>
        <w:t xml:space="preserve">”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The information set forth in Item 1.01 under the heading “</w:t>
      </w:r>
      <w:r>
        <w:rPr>
          <w:rFonts w:ascii="Times New Roman" w:hAnsi="Times New Roman"/>
          <w:i/>
          <w:sz w:val="20"/>
        </w:rPr>
        <w:t>Perceptive Warrants</w:t>
      </w:r>
      <w:r>
        <w:rPr>
          <w:rFonts w:ascii="Times New Roman" w:hAnsi="Times New Roman"/>
          <w:sz w:val="20"/>
        </w:rPr>
        <w:t xml:space="preserve">” is incorporated by reference into this Item 3.02.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4"/>
        <w:gridCol w:w="120"/>
        <w:gridCol w:w="9531"/>
      </w:tblGrid>
      <w:tr>
        <w:trPr/>
        <w:tc>
          <w:tcPr>
            <w:tcW w:w="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1"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31"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 of Exhibit</w:t>
            </w:r>
          </w:p>
        </w:tc>
      </w:tr>
      <w:tr>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31" w:type="dxa"/>
            <w:tcBorders/>
            <w:vAlign w:val="center"/>
          </w:tcPr>
          <w:p>
            <w:pPr>
              <w:pStyle w:val="TableContents"/>
              <w:bidi w:val="0"/>
              <w:spacing w:before="0" w:after="283"/>
              <w:jc w:val="left"/>
              <w:rPr/>
            </w:pPr>
            <w:hyperlink w:anchor="d156965dex41.htm">
              <w:r>
                <w:rPr>
                  <w:rStyle w:val="InternetLink"/>
                </w:rPr>
                <w:t xml:space="preserve">Form of Warrant Certificate </w:t>
              </w:r>
            </w:hyperlink>
          </w:p>
        </w:tc>
      </w:tr>
      <w:tr>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31" w:type="dxa"/>
            <w:tcBorders/>
            <w:vAlign w:val="center"/>
          </w:tcPr>
          <w:p>
            <w:pPr>
              <w:pStyle w:val="TableContents"/>
              <w:bidi w:val="0"/>
              <w:spacing w:before="0" w:after="283"/>
              <w:jc w:val="left"/>
              <w:rPr/>
            </w:pPr>
            <w:hyperlink w:anchor="d156965dex101.htm">
              <w:r>
                <w:rPr>
                  <w:rStyle w:val="InternetLink"/>
                </w:rPr>
                <w:t xml:space="preserve">Note Purchase Agreement and Guaranty, dated July 30, 2026, by and among the Company, as issuer, the guarantors party thereto from time to time, the noteholders party thereto from time to time and Perceptive Credit Holdings V, LP, as the administrative agent for the noteholders. </w:t>
              </w:r>
            </w:hyperlink>
          </w:p>
        </w:tc>
      </w:tr>
      <w:tr>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31" w:type="dxa"/>
            <w:tcBorders/>
            <w:vAlign w:val="center"/>
          </w:tcPr>
          <w:p>
            <w:pPr>
              <w:pStyle w:val="TableContents"/>
              <w:bidi w:val="0"/>
              <w:spacing w:before="0" w:after="283"/>
              <w:jc w:val="left"/>
              <w:rPr/>
            </w:pPr>
            <w:hyperlink w:anchor="d156965dex102.htm">
              <w:r>
                <w:rPr>
                  <w:rStyle w:val="InternetLink"/>
                </w:rPr>
                <w:t xml:space="preserve">Registration Rights Agreement, dated July 30, 2026, by and between the Company and Perceptive. </w:t>
              </w:r>
            </w:hyperlink>
          </w:p>
        </w:tc>
      </w:tr>
      <w:tr>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31"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 Certain confidential information has been omitted from this exhibit pursuant to Item 601(b)(10)(iv) of Regulation S-K because it is both (i) not material and (ii) the type of information that the Company treats as private or confidential.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8250"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545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r>
              <w:rPr>
                <w:b/>
              </w:rPr>
              <w:t>AUTOLUS THERAPEUTICS PLC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3,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Itin,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Name: Christian Itin,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3" w:name="d156965dex41.htm"/>
      <w:bookmarkStart w:id="4" w:name="ksd156965dex41"/>
      <w:bookmarkEnd w:id="3"/>
      <w:bookmarkEnd w:id="4"/>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AND THE SECURITIES ISSUABLE UPON EXERCISE OF THIS WARRANT CERTIFICATE HAVE NOT BEEN REGISTERED UNDER THE SECURITIES ACT OF 1933, AS AMENDED, OR QUALIFIED UNDER ANY STATE OR FOREIGN SECURITIES LAWS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 AND, IN EACH CASE, IF THE COMPANY REQUESTS, AN OPINION SATISFACTORY TO THE COMPANY TO SUCH EFFECT HAS BEEN RENDERED BY COUNSEL.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8"/>
        <w:gridCol w:w="124"/>
        <w:gridCol w:w="7453"/>
      </w:tblGrid>
      <w:tr>
        <w:trPr/>
        <w:tc>
          <w:tcPr>
            <w:tcW w:w="26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453" w:type="dxa"/>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left"/>
              <w:rPr/>
            </w:pPr>
            <w:r>
              <w:rPr/>
              <w:t>Issuer:</w:t>
            </w:r>
          </w:p>
        </w:tc>
        <w:tc>
          <w:tcPr>
            <w:tcW w:w="124" w:type="dxa"/>
            <w:tcBorders/>
            <w:vAlign w:val="bottom"/>
          </w:tcPr>
          <w:p>
            <w:pPr>
              <w:pStyle w:val="TableContents"/>
              <w:bidi w:val="0"/>
              <w:spacing w:before="0" w:after="283"/>
              <w:jc w:val="left"/>
              <w:rPr/>
            </w:pPr>
            <w:r>
              <w:rPr/>
              <w:t>  </w:t>
            </w:r>
          </w:p>
        </w:tc>
        <w:tc>
          <w:tcPr>
            <w:tcW w:w="7453" w:type="dxa"/>
            <w:tcBorders/>
          </w:tcPr>
          <w:p>
            <w:pPr>
              <w:pStyle w:val="TableContents"/>
              <w:bidi w:val="0"/>
              <w:spacing w:before="0" w:after="283"/>
              <w:jc w:val="left"/>
              <w:rPr/>
            </w:pPr>
            <w:r>
              <w:rPr/>
              <w:t>AUTOLUS THERAPEUTICS PLC (the “</w:t>
            </w:r>
            <w:r>
              <w:rPr>
                <w:b/>
                <w:i/>
              </w:rPr>
              <w:t>Company</w:t>
            </w:r>
            <w:r>
              <w:rPr/>
              <w:t>”)</w:t>
            </w:r>
          </w:p>
        </w:tc>
      </w:tr>
      <w:tr>
        <w:trPr>
          <w:trHeight w:val="120" w:hRule="atLeast"/>
        </w:trPr>
        <w:tc>
          <w:tcPr>
            <w:tcW w:w="2628" w:type="dxa"/>
            <w:tcBorders/>
            <w:vAlign w:val="center"/>
          </w:tcPr>
          <w:p>
            <w:pPr>
              <w:pStyle w:val="TableContents"/>
              <w:bidi w:val="0"/>
              <w:spacing w:before="0" w:after="283"/>
              <w:jc w:val="left"/>
              <w:rPr>
                <w:sz w:val="4"/>
                <w:szCs w:val="4"/>
              </w:rPr>
            </w:pPr>
            <w:r>
              <w:rPr>
                <w:sz w:val="4"/>
                <w:szCs w:val="4"/>
              </w:rPr>
            </w:r>
          </w:p>
        </w:tc>
        <w:tc>
          <w:tcPr>
            <w:tcW w:w="7577" w:type="dxa"/>
            <w:gridSpan w:val="2"/>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left"/>
              <w:rPr/>
            </w:pPr>
            <w:r>
              <w:rPr/>
              <w:t>Warrant Securities Issuable:</w:t>
            </w:r>
          </w:p>
        </w:tc>
        <w:tc>
          <w:tcPr>
            <w:tcW w:w="124" w:type="dxa"/>
            <w:tcBorders/>
            <w:vAlign w:val="bottom"/>
          </w:tcPr>
          <w:p>
            <w:pPr>
              <w:pStyle w:val="TableContents"/>
              <w:bidi w:val="0"/>
              <w:spacing w:before="0" w:after="283"/>
              <w:jc w:val="left"/>
              <w:rPr/>
            </w:pPr>
            <w:r>
              <w:rPr/>
              <w:t>  </w:t>
            </w:r>
          </w:p>
        </w:tc>
        <w:tc>
          <w:tcPr>
            <w:tcW w:w="7453" w:type="dxa"/>
            <w:tcBorders/>
          </w:tcPr>
          <w:p>
            <w:pPr>
              <w:pStyle w:val="TableContents"/>
              <w:bidi w:val="0"/>
              <w:spacing w:before="0" w:after="283"/>
              <w:jc w:val="left"/>
              <w:rPr/>
            </w:pPr>
            <w:r>
              <w:rPr/>
              <w:t>[] American Depositary Receipts representing ordinary shares in the capital of the Company</w:t>
            </w:r>
          </w:p>
        </w:tc>
      </w:tr>
      <w:tr>
        <w:trPr>
          <w:trHeight w:val="120" w:hRule="atLeast"/>
        </w:trPr>
        <w:tc>
          <w:tcPr>
            <w:tcW w:w="2628" w:type="dxa"/>
            <w:tcBorders/>
            <w:vAlign w:val="center"/>
          </w:tcPr>
          <w:p>
            <w:pPr>
              <w:pStyle w:val="TableContents"/>
              <w:bidi w:val="0"/>
              <w:spacing w:before="0" w:after="283"/>
              <w:jc w:val="left"/>
              <w:rPr>
                <w:sz w:val="4"/>
                <w:szCs w:val="4"/>
              </w:rPr>
            </w:pPr>
            <w:r>
              <w:rPr>
                <w:sz w:val="4"/>
                <w:szCs w:val="4"/>
              </w:rPr>
            </w:r>
          </w:p>
        </w:tc>
        <w:tc>
          <w:tcPr>
            <w:tcW w:w="7577" w:type="dxa"/>
            <w:gridSpan w:val="2"/>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left"/>
              <w:rPr/>
            </w:pPr>
            <w:r>
              <w:rPr/>
              <w:t>Warrant Certificate No.:</w:t>
            </w:r>
          </w:p>
        </w:tc>
        <w:tc>
          <w:tcPr>
            <w:tcW w:w="124" w:type="dxa"/>
            <w:tcBorders/>
            <w:vAlign w:val="bottom"/>
          </w:tcPr>
          <w:p>
            <w:pPr>
              <w:pStyle w:val="TableContents"/>
              <w:bidi w:val="0"/>
              <w:spacing w:before="0" w:after="283"/>
              <w:jc w:val="left"/>
              <w:rPr/>
            </w:pPr>
            <w:r>
              <w:rPr/>
              <w:t>  </w:t>
            </w:r>
          </w:p>
        </w:tc>
        <w:tc>
          <w:tcPr>
            <w:tcW w:w="7453" w:type="dxa"/>
            <w:tcBorders/>
          </w:tcPr>
          <w:p>
            <w:pPr>
              <w:pStyle w:val="TableContents"/>
              <w:bidi w:val="0"/>
              <w:spacing w:before="0" w:after="283"/>
              <w:jc w:val="left"/>
              <w:rPr/>
            </w:pPr>
            <w:r>
              <w:rPr/>
              <w:t>[01 / 02 / 03]1</w:t>
            </w:r>
          </w:p>
        </w:tc>
      </w:tr>
      <w:tr>
        <w:trPr>
          <w:trHeight w:val="120" w:hRule="atLeast"/>
        </w:trPr>
        <w:tc>
          <w:tcPr>
            <w:tcW w:w="2628" w:type="dxa"/>
            <w:tcBorders/>
            <w:vAlign w:val="center"/>
          </w:tcPr>
          <w:p>
            <w:pPr>
              <w:pStyle w:val="TableContents"/>
              <w:bidi w:val="0"/>
              <w:spacing w:before="0" w:after="283"/>
              <w:jc w:val="left"/>
              <w:rPr>
                <w:sz w:val="4"/>
                <w:szCs w:val="4"/>
              </w:rPr>
            </w:pPr>
            <w:r>
              <w:rPr>
                <w:sz w:val="4"/>
                <w:szCs w:val="4"/>
              </w:rPr>
            </w:r>
          </w:p>
        </w:tc>
        <w:tc>
          <w:tcPr>
            <w:tcW w:w="7577" w:type="dxa"/>
            <w:gridSpan w:val="2"/>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left"/>
              <w:rPr/>
            </w:pPr>
            <w:r>
              <w:rPr/>
              <w:t>Issue Date:</w:t>
            </w:r>
          </w:p>
        </w:tc>
        <w:tc>
          <w:tcPr>
            <w:tcW w:w="124" w:type="dxa"/>
            <w:tcBorders/>
            <w:vAlign w:val="bottom"/>
          </w:tcPr>
          <w:p>
            <w:pPr>
              <w:pStyle w:val="TableContents"/>
              <w:bidi w:val="0"/>
              <w:spacing w:before="0" w:after="283"/>
              <w:jc w:val="left"/>
              <w:rPr/>
            </w:pPr>
            <w:r>
              <w:rPr/>
              <w:t>  </w:t>
            </w:r>
          </w:p>
        </w:tc>
        <w:tc>
          <w:tcPr>
            <w:tcW w:w="7453" w:type="dxa"/>
            <w:tcBorders/>
          </w:tcPr>
          <w:p>
            <w:pPr>
              <w:pStyle w:val="TableContents"/>
              <w:bidi w:val="0"/>
              <w:spacing w:before="0" w:after="283"/>
              <w:jc w:val="left"/>
              <w:rPr/>
            </w:pPr>
            <w:r>
              <w:rPr/>
              <w:t>[] 2026 (the “</w:t>
            </w:r>
            <w:r>
              <w:rPr>
                <w:b/>
                <w:i/>
              </w:rPr>
              <w:t>Issue Date</w:t>
            </w:r>
            <w:r>
              <w:rPr/>
              <w:t>”)</w:t>
            </w:r>
          </w:p>
        </w:tc>
      </w:tr>
    </w:tbl>
    <w:p>
      <w:pPr>
        <w:pStyle w:val="TextBody"/>
        <w:bidi w:val="0"/>
        <w:spacing w:before="240" w:after="0"/>
        <w:jc w:val="left"/>
        <w:rPr>
          <w:rFonts w:ascii="Times New Roman" w:hAnsi="Times New Roman"/>
          <w:sz w:val="20"/>
        </w:rPr>
      </w:pPr>
      <w:r>
        <w:rPr>
          <w:rFonts w:ascii="Times New Roman" w:hAnsi="Times New Roman"/>
          <w:sz w:val="20"/>
        </w:rPr>
        <w:t>AUTOLUS THERAPEUTICS PLC, a public limited company incorporated in England and Wales with number 11185179 whose registered office is at The MediaWorks, 191 Wood Lane, London W12 7FP, United Kingdom, hereby certifies that for good and valuable consideration, PERCEPTIVE CREDIT HOLDINGS V, LP, a Delaware limited partnership (the “</w:t>
      </w:r>
      <w:r>
        <w:rPr>
          <w:rFonts w:ascii="Times New Roman" w:hAnsi="Times New Roman"/>
          <w:b/>
          <w:i/>
          <w:sz w:val="20"/>
        </w:rPr>
        <w:t>Initial Holder</w:t>
      </w:r>
      <w:r>
        <w:rPr>
          <w:rFonts w:ascii="Times New Roman" w:hAnsi="Times New Roman"/>
          <w:sz w:val="20"/>
        </w:rPr>
        <w:t>” and, together with its successors and permitted transferees and assigns, a “</w:t>
      </w:r>
      <w:r>
        <w:rPr>
          <w:rFonts w:ascii="Times New Roman" w:hAnsi="Times New Roman"/>
          <w:b/>
          <w:i/>
          <w:sz w:val="20"/>
        </w:rPr>
        <w:t>Holder</w:t>
      </w:r>
      <w:r>
        <w:rPr>
          <w:rFonts w:ascii="Times New Roman" w:hAnsi="Times New Roman"/>
          <w:sz w:val="20"/>
        </w:rPr>
        <w:t xml:space="preserve">”) is entitled to purchase, at the per share Exercise Price (defined below), up to [3,500,000 / 2,500,000 / 2,500,000]2 ADSs representing ordinary shares in the capital of the Company fully paid and not subject to any call for payment of further capital, all subject to the terms, conditions and adjustments set forth below in this Warrant Certificate and subject further to the rules or regulations of the Trading Market and terms of the Articles. </w:t>
      </w:r>
    </w:p>
    <w:p>
      <w:pPr>
        <w:pStyle w:val="TextBody"/>
        <w:bidi w:val="0"/>
        <w:spacing w:before="240" w:after="0"/>
        <w:jc w:val="left"/>
        <w:rPr>
          <w:rFonts w:ascii="Times New Roman" w:hAnsi="Times New Roman"/>
          <w:sz w:val="20"/>
        </w:rPr>
      </w:pPr>
      <w:r>
        <w:rPr>
          <w:rFonts w:ascii="Times New Roman" w:hAnsi="Times New Roman"/>
          <w:sz w:val="20"/>
        </w:rPr>
        <w:t>Pre-emption rights under section 561 of the UK Companies Act 2006 (the “</w:t>
      </w:r>
      <w:r>
        <w:rPr>
          <w:rFonts w:ascii="Times New Roman" w:hAnsi="Times New Roman"/>
          <w:b/>
          <w:i/>
          <w:sz w:val="20"/>
        </w:rPr>
        <w:t>Companies Act</w:t>
      </w:r>
      <w:r>
        <w:rPr>
          <w:rFonts w:ascii="Times New Roman" w:hAnsi="Times New Roman"/>
          <w:sz w:val="20"/>
        </w:rPr>
        <w:t xml:space="preserve">”) have been validly disapplied in relation to the number of Ordinary Shares in the Company to be issued pursuant to this Warrant Certificate pursuant to the authority from the Company’s shareholders at its annual general meeting held on June 28, 2024 to disapply preemptive rights for a period of five years from June 28, 2024 up to a maximum nominal amount of $8,400.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amended depending on which tranche of the warrant is being issued.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amended depending on which tranche of the warrant is being issued.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This Warrant Certificate has been executed by the Company and is being issued as a condition precedent to the making of the loans under and pursuant to that certain Note Purchase Agreement and Guaranty, dated as of [ ] 2026 (as amended or otherwise modified from time to time, the “</w:t>
      </w:r>
      <w:r>
        <w:rPr>
          <w:rFonts w:ascii="Times New Roman" w:hAnsi="Times New Roman"/>
          <w:b/>
          <w:i/>
          <w:sz w:val="20"/>
        </w:rPr>
        <w:t>Note Purchase Agreement</w:t>
      </w:r>
      <w:r>
        <w:rPr>
          <w:rFonts w:ascii="Times New Roman" w:hAnsi="Times New Roman"/>
          <w:sz w:val="20"/>
        </w:rPr>
        <w:t>”), among the Company, certain Subsidiaries of the Company and the Initial Holder, acting in its capacity as the administrative agent for the noteholders. The Company and the Initial Holder [are entering/have entered] into a Registration Rights Agreement, dated as of the Closing Date (as amended or otherwise modified from time to time, the “</w:t>
      </w:r>
      <w:r>
        <w:rPr>
          <w:rFonts w:ascii="Times New Roman" w:hAnsi="Times New Roman"/>
          <w:b/>
          <w:i/>
          <w:sz w:val="20"/>
        </w:rPr>
        <w:t>Registration Rights Agreement</w:t>
      </w:r>
      <w:r>
        <w:rPr>
          <w:rFonts w:ascii="Times New Roman" w:hAnsi="Times New Roman"/>
          <w:sz w:val="20"/>
        </w:rPr>
        <w:t xml:space="preserve">”), pursuant to which the Company has agreed to provide certain registration rights with respect to the Warrant ADSs and Warrant Shares issuable upon exercise of this Warrant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Capitalized terms used in this Warrant Certificate but not otherwise defined herein have the meanings ascribed thereto in the Note Purchase Agreement as in effect on the Issue Date. The following terms when used herein have the following meanings: </w:t>
      </w:r>
    </w:p>
    <w:p>
      <w:pPr>
        <w:pStyle w:val="TextBody"/>
        <w:bidi w:val="0"/>
        <w:spacing w:before="240" w:after="0"/>
        <w:jc w:val="left"/>
        <w:rPr/>
      </w:pPr>
      <w:r>
        <w:rPr/>
        <w:t>“</w:t>
      </w:r>
      <w:r>
        <w:rPr>
          <w:rFonts w:ascii="Times New Roman" w:hAnsi="Times New Roman"/>
          <w:b/>
          <w:i/>
          <w:sz w:val="20"/>
        </w:rPr>
        <w:t>ADS</w:t>
      </w:r>
      <w:r>
        <w:rPr>
          <w:rFonts w:ascii="Times New Roman" w:hAnsi="Times New Roman"/>
          <w:sz w:val="20"/>
        </w:rPr>
        <w:t xml:space="preserve">” means American Depositary Shares representing Ordinary Shares pursuant to a sponsored American Depositary Receipt facility established with, and maintained by, the Depositary, which are not registered and will be restricted under the terms of the deposit agreement with the Depositary; </w:t>
      </w:r>
    </w:p>
    <w:p>
      <w:pPr>
        <w:pStyle w:val="TextBody"/>
        <w:bidi w:val="0"/>
        <w:spacing w:before="240" w:after="0"/>
        <w:jc w:val="left"/>
        <w:rPr/>
      </w:pPr>
      <w:r>
        <w:rPr/>
        <w:t>“</w:t>
      </w:r>
      <w:r>
        <w:rPr>
          <w:rFonts w:ascii="Times New Roman" w:hAnsi="Times New Roman"/>
          <w:b/>
          <w:i/>
          <w:sz w:val="20"/>
        </w:rPr>
        <w:t>Aggregate Exercise Price</w:t>
      </w:r>
      <w:r>
        <w:rPr>
          <w:rFonts w:ascii="Times New Roman" w:hAnsi="Times New Roman"/>
          <w:sz w:val="20"/>
        </w:rPr>
        <w:t xml:space="preserve">” means, with respect to any exercise of this Warrant Certificate for Warrant ADSs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an amount equal to the product of (i) the number of Warrant ADSs in respect of which this Warrant Certificate is then being exercised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multiplied by (ii) the Exercise Price. </w:t>
      </w:r>
    </w:p>
    <w:p>
      <w:pPr>
        <w:pStyle w:val="TextBody"/>
        <w:bidi w:val="0"/>
        <w:spacing w:before="240" w:after="0"/>
        <w:jc w:val="left"/>
        <w:rPr/>
      </w:pPr>
      <w:r>
        <w:rPr/>
        <w:t>“</w:t>
      </w:r>
      <w:r>
        <w:rPr>
          <w:rFonts w:ascii="Times New Roman" w:hAnsi="Times New Roman"/>
          <w:b/>
          <w:i/>
          <w:sz w:val="20"/>
        </w:rPr>
        <w:t>Articles</w:t>
      </w:r>
      <w:r>
        <w:rPr>
          <w:rFonts w:ascii="Times New Roman" w:hAnsi="Times New Roman"/>
          <w:sz w:val="20"/>
        </w:rPr>
        <w:t xml:space="preserve">” means the articles of association of the Company adopted by special resolution dated June 26, 2018. </w:t>
      </w:r>
    </w:p>
    <w:p>
      <w:pPr>
        <w:pStyle w:val="TextBody"/>
        <w:bidi w:val="0"/>
        <w:spacing w:before="240" w:after="0"/>
        <w:jc w:val="left"/>
        <w:rPr/>
      </w:pPr>
      <w:r>
        <w:rPr/>
        <w:t>“</w:t>
      </w:r>
      <w:r>
        <w:rPr>
          <w:rFonts w:ascii="Times New Roman" w:hAnsi="Times New Roman"/>
          <w:b/>
          <w:i/>
          <w:sz w:val="20"/>
        </w:rPr>
        <w:t>Assignment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Bloomberg</w:t>
      </w:r>
      <w:r>
        <w:rPr>
          <w:rFonts w:ascii="Times New Roman" w:hAnsi="Times New Roman"/>
          <w:sz w:val="20"/>
        </w:rPr>
        <w:t xml:space="preserve">” means Bloomberg Financial Markets or an equivalent, reliable reporting service reasonably acceptable to the Holder and the Company.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on which banks are open for commercial business in the City of London, United Kingdom and New York, United States of America, other than a Saturday, Sunday or public holiday. </w:t>
      </w:r>
    </w:p>
    <w:p>
      <w:pPr>
        <w:pStyle w:val="TextBody"/>
        <w:bidi w:val="0"/>
        <w:spacing w:before="240" w:after="0"/>
        <w:jc w:val="left"/>
        <w:rPr/>
      </w:pPr>
      <w:r>
        <w:rPr/>
        <w:t>“</w:t>
      </w:r>
      <w:r>
        <w:rPr>
          <w:rFonts w:ascii="Times New Roman" w:hAnsi="Times New Roman"/>
          <w:b/>
          <w:i/>
          <w:sz w:val="20"/>
        </w:rPr>
        <w:t>Cashless Exercise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Companies Act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Convertible Securities</w:t>
      </w:r>
      <w:r>
        <w:rPr>
          <w:rFonts w:ascii="Times New Roman" w:hAnsi="Times New Roman"/>
          <w:sz w:val="20"/>
        </w:rPr>
        <w:t xml:space="preserve">” means any Equity Interests that, directly or indirectly, are convertible into or exchangeable for Ordinary Shares. </w:t>
      </w:r>
    </w:p>
    <w:p>
      <w:pPr>
        <w:pStyle w:val="TextBody"/>
        <w:bidi w:val="0"/>
        <w:spacing w:before="240" w:after="0"/>
        <w:jc w:val="left"/>
        <w:rPr/>
      </w:pPr>
      <w:r>
        <w:rPr/>
        <w:t>“</w:t>
      </w:r>
      <w:r>
        <w:rPr>
          <w:rFonts w:ascii="Times New Roman" w:hAnsi="Times New Roman"/>
          <w:b/>
          <w:i/>
          <w:sz w:val="20"/>
        </w:rPr>
        <w:t>Determination Date</w:t>
      </w:r>
      <w:r>
        <w:rPr>
          <w:rFonts w:ascii="Times New Roman" w:hAnsi="Times New Roman"/>
          <w:sz w:val="20"/>
        </w:rPr>
        <w:t xml:space="preserve">” has the meaning set forth in the definition of “Fair Market Value”.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Citibank, N.A. a national banking association organized under the laws of the United States, in its capacity as depositary under the terms of the Deposit Agreement, and any successor depositary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Deposit Agreement</w:t>
      </w:r>
      <w:r>
        <w:rPr>
          <w:rFonts w:ascii="Times New Roman" w:hAnsi="Times New Roman"/>
          <w:sz w:val="20"/>
        </w:rPr>
        <w:t xml:space="preserve">” means the agreement dated June 16, 2018 entered into between the Company and the Depositary and all owners and holders from time to time of ADSs issued thereunder, as amended, supplemented or otherwise modified from time to time. </w:t>
      </w:r>
    </w:p>
    <w:p>
      <w:pPr>
        <w:pStyle w:val="TextBody"/>
        <w:bidi w:val="0"/>
        <w:spacing w:before="240" w:after="0"/>
        <w:jc w:val="left"/>
        <w:rPr/>
      </w:pPr>
      <w:r>
        <w:rPr/>
        <w:t>“</w:t>
      </w:r>
      <w:r>
        <w:rPr>
          <w:rFonts w:ascii="Times New Roman" w:hAnsi="Times New Roman"/>
          <w:b/>
          <w:i/>
          <w:sz w:val="20"/>
        </w:rPr>
        <w:t>Directors</w:t>
      </w:r>
      <w:r>
        <w:rPr>
          <w:rFonts w:ascii="Times New Roman" w:hAnsi="Times New Roman"/>
          <w:sz w:val="20"/>
        </w:rPr>
        <w:t xml:space="preserve">” means the board of directors of the Company (and/or, where relevant, a Group Company) for the time being;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Exercise Certificate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Exercise Date</w:t>
      </w:r>
      <w:r>
        <w:rPr>
          <w:rFonts w:ascii="Times New Roman" w:hAnsi="Times New Roman"/>
          <w:sz w:val="20"/>
        </w:rPr>
        <w:t xml:space="preserve">” means, for any given exercise of this Warrant Certificate, whether in whole or in part, a Business Day on which the conditions to such exercise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shall have been satisfied at or prior to 5:00 p.m., New York City time, including, without limitation, the receipt by the Company of the Exercise Certificate. </w:t>
      </w:r>
    </w:p>
    <w:p>
      <w:pPr>
        <w:pStyle w:val="TextBody"/>
        <w:bidi w:val="0"/>
        <w:spacing w:before="240" w:after="0"/>
        <w:jc w:val="left"/>
        <w:rPr/>
      </w:pPr>
      <w:r>
        <w:rPr/>
        <w:t>“</w:t>
      </w:r>
      <w:r>
        <w:rPr>
          <w:rFonts w:ascii="Times New Roman" w:hAnsi="Times New Roman"/>
          <w:b/>
          <w:i/>
          <w:sz w:val="20"/>
        </w:rPr>
        <w:t>Exercise Period</w:t>
      </w:r>
      <w:r>
        <w:rPr>
          <w:rFonts w:ascii="Times New Roman" w:hAnsi="Times New Roman"/>
          <w:sz w:val="20"/>
        </w:rPr>
        <w:t xml:space="preserve">” means the period from (and including) the Issue Date to (and including) 5:00 p.m., New York City time, on the Expiration Date. </w:t>
      </w:r>
    </w:p>
    <w:p>
      <w:pPr>
        <w:pStyle w:val="TextBody"/>
        <w:bidi w:val="0"/>
        <w:spacing w:before="240" w:after="0"/>
        <w:jc w:val="left"/>
        <w:rPr/>
      </w:pPr>
      <w:r>
        <w:rPr/>
        <w:t>“</w:t>
      </w:r>
      <w:r>
        <w:rPr>
          <w:rFonts w:ascii="Times New Roman" w:hAnsi="Times New Roman"/>
          <w:b/>
          <w:i/>
          <w:sz w:val="20"/>
        </w:rPr>
        <w:t>Exercise Price</w:t>
      </w:r>
      <w:r>
        <w:rPr>
          <w:rFonts w:ascii="Times New Roman" w:hAnsi="Times New Roman"/>
          <w:sz w:val="20"/>
        </w:rPr>
        <w:t xml:space="preserve">” means $[] per Warrant Share3 . </w:t>
      </w:r>
    </w:p>
    <w:p>
      <w:pPr>
        <w:pStyle w:val="TextBody"/>
        <w:bidi w:val="0"/>
        <w:spacing w:before="240" w:after="0"/>
        <w:jc w:val="left"/>
        <w:rPr/>
      </w:pPr>
      <w:r>
        <w:rPr/>
        <w:t>“</w:t>
      </w:r>
      <w:r>
        <w:rPr>
          <w:rFonts w:ascii="Times New Roman" w:hAnsi="Times New Roman"/>
          <w:b/>
          <w:i/>
          <w:sz w:val="20"/>
        </w:rPr>
        <w:t>Expiration Date</w:t>
      </w:r>
      <w:r>
        <w:rPr>
          <w:rFonts w:ascii="Times New Roman" w:hAnsi="Times New Roman"/>
          <w:sz w:val="20"/>
        </w:rPr>
        <w:t xml:space="preserve">” means []. </w:t>
      </w:r>
    </w:p>
    <w:p>
      <w:pPr>
        <w:pStyle w:val="TextBody"/>
        <w:bidi w:val="0"/>
        <w:spacing w:before="240" w:after="0"/>
        <w:jc w:val="left"/>
        <w:rPr/>
      </w:pPr>
      <w:r>
        <w:rPr/>
        <w:t>“</w:t>
      </w:r>
      <w:r>
        <w:rPr>
          <w:rFonts w:ascii="Times New Roman" w:hAnsi="Times New Roman"/>
          <w:b/>
          <w:i/>
          <w:sz w:val="20"/>
        </w:rPr>
        <w:t>Equity Interest</w:t>
      </w:r>
      <w:r>
        <w:rPr>
          <w:rFonts w:ascii="Times New Roman" w:hAnsi="Times New Roman"/>
          <w:sz w:val="20"/>
        </w:rPr>
        <w:t>” means (a) any and all ordinary shares in the capital of the Company (including ordinary shares represented by ADS), (b) ADS issued pursuant to the Deposit Agreement, each representing one ordinary share of the Company, (c) any other shares of any class in the share capital of the Company (whether common, preferred or otherwise, but excluding any deferred shares), and (d) any warrants, options, convertible securities, exchangeable securities or other rights to subscribe for, purchase or otherwise acquire any of the foregoing, in each case whether now existing or hereafter issued; provided that the term “</w:t>
      </w:r>
      <w:r>
        <w:rPr>
          <w:rFonts w:ascii="Times New Roman" w:hAnsi="Times New Roman"/>
          <w:b/>
          <w:i/>
          <w:sz w:val="20"/>
        </w:rPr>
        <w:t>Equity Interest</w:t>
      </w:r>
      <w:r>
        <w:rPr>
          <w:rFonts w:ascii="Times New Roman" w:hAnsi="Times New Roman"/>
          <w:sz w:val="20"/>
        </w:rPr>
        <w:t xml:space="preserve">” shall not include any debt security of the Company that is not by its terms convertible into or exchangeable for any security described in clauses (a) through (c) above. </w:t>
      </w:r>
    </w:p>
    <w:p>
      <w:pPr>
        <w:pStyle w:val="TextBody"/>
        <w:bidi w:val="0"/>
        <w:spacing w:before="240" w:after="0"/>
        <w:jc w:val="left"/>
        <w:rPr/>
      </w:pPr>
      <w:r>
        <w:rPr/>
        <w:t>“</w:t>
      </w:r>
      <w:r>
        <w:rPr>
          <w:rFonts w:ascii="Times New Roman" w:hAnsi="Times New Roman"/>
          <w:b/>
          <w:i/>
          <w:sz w:val="20"/>
        </w:rPr>
        <w:t>Fair Market Value</w:t>
      </w:r>
      <w:r>
        <w:rPr>
          <w:rFonts w:ascii="Times New Roman" w:hAnsi="Times New Roman"/>
          <w:sz w:val="20"/>
        </w:rPr>
        <w:t>” means, as of any date of determination (a “</w:t>
      </w:r>
      <w:r>
        <w:rPr>
          <w:rFonts w:ascii="Times New Roman" w:hAnsi="Times New Roman"/>
          <w:b/>
          <w:i/>
          <w:sz w:val="20"/>
        </w:rPr>
        <w:t>Determination Date</w:t>
      </w:r>
      <w:r>
        <w:rPr>
          <w:rFonts w:ascii="Times New Roman" w:hAnsi="Times New Roman"/>
          <w:sz w:val="20"/>
        </w:rPr>
        <w:t xml:space="preserve">”), if the Ordinary Shares (or ADSs representing such Ordinary Shares) are traded on a Trading Market, (i) the VWAP for such date, (ii) if there is no VWAP on such date, the per share closing price for such Ordinary Shares (or ADSs representing such Ordinary Shares) on such Determination Date on the primary Trading Market for such shares (or ADSs, as applicable), or (iii) if there have been no sales of the Ordinary Shares (or ADSs representing such Ordinary Shares) on such Determination Date on the primary Trading Market for such shares, the per share closing price for the Ordinary Shares (or ADSs representing such Ordinary Shares) on the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(i) Equal to the 30-day volume weighted average sale price of the ADSs on Trading Market as reported by Bloomberg ending on the Business Day immediately preceding the Closing date multiplied by 125% for the Tranche 1 Warrant (ii) equal to the 30-day volume weighted average sale price of the ADSs on Trading Market as reported by Bloomberg ending on the Business Day immediately preceding the Tranche 2 Issue Date for the Tranche 2 Warrant and (iii) equal to the 30-day volume weighted average sale price of the ADSs on Trading Market as reported by Bloomberg ending on the Business Day immediately preceding the Tranche 3 Issue Date for the Tranche 3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preceding day on which the Ordinary Shares (or ADSs representing such Ordinary Shares) were sold on its primary Trading Market; </w:t>
      </w:r>
      <w:r>
        <w:rPr>
          <w:rFonts w:ascii="Times New Roman" w:hAnsi="Times New Roman"/>
          <w:sz w:val="20"/>
          <w:u w:val="single"/>
        </w:rPr>
        <w:t>provided</w:t>
      </w:r>
      <w:r>
        <w:rPr>
          <w:rFonts w:ascii="Times New Roman" w:hAnsi="Times New Roman"/>
          <w:sz w:val="20"/>
        </w:rPr>
        <w:t xml:space="preserve"> that if at any time the Ordinary Shares (or ADSs representing such Ordinary Shares) are not listed, quoted or otherwise available for trading on any Trading Market (so that no Trading Date shall have occurred), the “</w:t>
      </w:r>
      <w:r>
        <w:rPr>
          <w:rFonts w:ascii="Times New Roman" w:hAnsi="Times New Roman"/>
          <w:b/>
          <w:i/>
          <w:sz w:val="20"/>
        </w:rPr>
        <w:t>Fair Market Value</w:t>
      </w:r>
      <w:r>
        <w:rPr>
          <w:rFonts w:ascii="Times New Roman" w:hAnsi="Times New Roman"/>
          <w:sz w:val="20"/>
        </w:rPr>
        <w:t xml:space="preserve">” of such Warrant Shares shall be the fair market value per share of such Warrant Shares as determined by the Board of the Company acting reasonably and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in the event the Holder, in the exercise of its reasonable good faith judgment, disagrees with such determination, “</w:t>
      </w:r>
      <w:r>
        <w:rPr>
          <w:rFonts w:ascii="Times New Roman" w:hAnsi="Times New Roman"/>
          <w:b/>
          <w:i/>
          <w:sz w:val="20"/>
        </w:rPr>
        <w:t>Fair Market Value</w:t>
      </w:r>
      <w:r>
        <w:rPr>
          <w:rFonts w:ascii="Times New Roman" w:hAnsi="Times New Roman"/>
          <w:sz w:val="20"/>
        </w:rPr>
        <w:t xml:space="preserve">” shall be determined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10(a)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10(b)</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b/>
          <w:i/>
          <w:sz w:val="20"/>
        </w:rPr>
        <w:t>Group</w:t>
      </w:r>
      <w:r>
        <w:rPr>
          <w:rFonts w:ascii="Times New Roman" w:hAnsi="Times New Roman"/>
          <w:sz w:val="20"/>
        </w:rPr>
        <w:t xml:space="preserve">” means (i) the Company and its subsidiaries (if any), (ii) any holding company of the Company, and (iii) any subsidiaries of such holding companies from time to time, and “Group Company” means any member of the Group;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Independent Advisor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Initial Holder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Issue Date</w:t>
      </w:r>
      <w:r>
        <w:rPr>
          <w:rFonts w:ascii="Times New Roman" w:hAnsi="Times New Roman"/>
          <w:sz w:val="20"/>
        </w:rPr>
        <w:t xml:space="preserve">” means the date designated as such on the first page of this Warrant Certificate. </w:t>
      </w:r>
    </w:p>
    <w:p>
      <w:pPr>
        <w:pStyle w:val="TextBody"/>
        <w:bidi w:val="0"/>
        <w:spacing w:before="240" w:after="0"/>
        <w:jc w:val="left"/>
        <w:rPr/>
      </w:pPr>
      <w:r>
        <w:rPr/>
        <w:t>“</w:t>
      </w:r>
      <w:r>
        <w:rPr>
          <w:rFonts w:ascii="Times New Roman" w:hAnsi="Times New Roman"/>
          <w:b/>
          <w:i/>
          <w:sz w:val="20"/>
        </w:rPr>
        <w:t>Marketable Securities</w:t>
      </w:r>
      <w:r>
        <w:rPr>
          <w:rFonts w:ascii="Times New Roman" w:hAnsi="Times New Roman"/>
          <w:sz w:val="20"/>
        </w:rPr>
        <w:t xml:space="preserve">” means Equity Interests meeting each of the following requirements: (i) the issuer thereof is subject to the reporting requirements of Section 13 or Section 15(d) of the Exchange Act, and is current in its filing of all required reports and other information under the Securities Act and the Exchange Act; (ii) such Equity Interests are traded on a Trading Market; and (iii) if delivered (or to be delivered) as payment or compensation to a Holder in connection with an automatic Cashless Exercise resulting from a Sale of the Company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following the closing of such Sale of the Company the Holder would not be restricted from publicly re-selling any or all of such Equity Interests delivered to it, except to the extent that any such restriction (x) arises solely under federal or state securities laws, rules or regulations, or (y) does not extend beyond six (6) months from the closing of such Sale of the Company to the extent such restrictions may be lifted at such time under the applicable federal or state securities laws, rules or regulations. </w:t>
      </w:r>
    </w:p>
    <w:p>
      <w:pPr>
        <w:pStyle w:val="TextBody"/>
        <w:bidi w:val="0"/>
        <w:spacing w:before="240" w:after="0"/>
        <w:jc w:val="left"/>
        <w:rPr/>
      </w:pPr>
      <w:r>
        <w:rPr/>
        <w:t>“</w:t>
      </w:r>
      <w:r>
        <w:rPr>
          <w:rFonts w:ascii="Times New Roman" w:hAnsi="Times New Roman"/>
          <w:b/>
          <w:i/>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i/>
          <w:sz w:val="20"/>
        </w:rPr>
        <w:t>Nominal Price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Note Purchase 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NYSE</w:t>
      </w:r>
      <w:r>
        <w:rPr>
          <w:rFonts w:ascii="Times New Roman" w:hAnsi="Times New Roman"/>
          <w:sz w:val="20"/>
        </w:rPr>
        <w:t xml:space="preserve">” means the New York Stock Exchange. </w:t>
      </w:r>
    </w:p>
    <w:p>
      <w:pPr>
        <w:pStyle w:val="TextBody"/>
        <w:bidi w:val="0"/>
        <w:spacing w:before="240" w:after="0"/>
        <w:jc w:val="left"/>
        <w:rPr/>
      </w:pPr>
      <w:r>
        <w:rPr/>
        <w:t>“</w:t>
      </w:r>
      <w:r>
        <w:rPr>
          <w:rFonts w:ascii="Times New Roman" w:hAnsi="Times New Roman"/>
          <w:b/>
          <w:i/>
          <w:sz w:val="20"/>
        </w:rPr>
        <w:t>Options</w:t>
      </w:r>
      <w:r>
        <w:rPr>
          <w:rFonts w:ascii="Times New Roman" w:hAnsi="Times New Roman"/>
          <w:sz w:val="20"/>
        </w:rPr>
        <w:t xml:space="preserve">” means any warrants, options or similar rights to subscribe for or purchase Equity Interests of the Company, including its ADSs, Ordinary Shares or Convertible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Ordinary Shares</w:t>
      </w:r>
      <w:r>
        <w:rPr>
          <w:rFonts w:ascii="Times New Roman" w:hAnsi="Times New Roman"/>
          <w:sz w:val="20"/>
        </w:rPr>
        <w:t xml:space="preserve">” means ordinary shares in the capital of the Company with a nominal value of $0.000042 each, having the rights and privileges as provided in the Articles. </w:t>
      </w:r>
    </w:p>
    <w:p>
      <w:pPr>
        <w:pStyle w:val="TextBody"/>
        <w:bidi w:val="0"/>
        <w:spacing w:before="240" w:after="0"/>
        <w:jc w:val="left"/>
        <w:rPr/>
      </w:pPr>
      <w:r>
        <w:rPr/>
        <w:t>“</w:t>
      </w:r>
      <w:r>
        <w:rPr>
          <w:rFonts w:ascii="Times New Roman" w:hAnsi="Times New Roman"/>
          <w:b/>
          <w:i/>
          <w:sz w:val="20"/>
        </w:rPr>
        <w:t>OTC Bulletin Board</w:t>
      </w:r>
      <w:r>
        <w:rPr>
          <w:rFonts w:ascii="Times New Roman" w:hAnsi="Times New Roman"/>
          <w:sz w:val="20"/>
        </w:rPr>
        <w:t xml:space="preserve">” means the National Association of Securities Dealers, Inc. OTC Bulletin Board. </w:t>
      </w:r>
    </w:p>
    <w:p>
      <w:pPr>
        <w:pStyle w:val="TextBody"/>
        <w:bidi w:val="0"/>
        <w:spacing w:before="240" w:after="0"/>
        <w:jc w:val="left"/>
        <w:rPr/>
      </w:pPr>
      <w:r>
        <w:rPr/>
        <w:t>“</w:t>
      </w:r>
      <w:r>
        <w:rPr>
          <w:rFonts w:ascii="Times New Roman" w:hAnsi="Times New Roman"/>
          <w:b/>
          <w:i/>
          <w:sz w:val="20"/>
        </w:rPr>
        <w:t>Registration Rights 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has the meaning set forth in the Registration Rights Agreement. </w:t>
      </w:r>
    </w:p>
    <w:p>
      <w:pPr>
        <w:pStyle w:val="TextBody"/>
        <w:bidi w:val="0"/>
        <w:spacing w:before="240" w:after="0"/>
        <w:jc w:val="left"/>
        <w:rPr/>
      </w:pPr>
      <w:r>
        <w:rPr/>
        <w:t>“</w:t>
      </w:r>
      <w:r>
        <w:rPr>
          <w:rFonts w:ascii="Times New Roman" w:hAnsi="Times New Roman"/>
          <w:b/>
          <w:i/>
          <w:sz w:val="20"/>
        </w:rPr>
        <w:t>Rule 144</w:t>
      </w:r>
      <w:r>
        <w:rPr>
          <w:rFonts w:ascii="Times New Roman" w:hAnsi="Times New Roman"/>
          <w:sz w:val="20"/>
        </w:rPr>
        <w:t xml:space="preserve">” means Rule 144 promulgated under the Securities Act. </w:t>
      </w:r>
    </w:p>
    <w:p>
      <w:pPr>
        <w:pStyle w:val="TextBody"/>
        <w:bidi w:val="0"/>
        <w:spacing w:before="240" w:after="0"/>
        <w:jc w:val="left"/>
        <w:rPr/>
      </w:pPr>
      <w:r>
        <w:rPr/>
        <w:t>“</w:t>
      </w:r>
      <w:r>
        <w:rPr>
          <w:rFonts w:ascii="Times New Roman" w:hAnsi="Times New Roman"/>
          <w:b/>
          <w:i/>
          <w:sz w:val="20"/>
        </w:rPr>
        <w:t>Sale of the Company</w:t>
      </w:r>
      <w:r>
        <w:rPr>
          <w:rFonts w:ascii="Times New Roman" w:hAnsi="Times New Roman"/>
          <w:sz w:val="20"/>
        </w:rPr>
        <w:t xml:space="preserve">” means an event or transaction or series of related events or transactions pursuant to which, directly or indirectly, either (i) any Person or group of Persons acting jointly or otherwise in concert acquires ownership, directly or indirectly, beneficially or of record, of Equity Interests of the Company having more than fifty percent (50%) of the aggregate ordinary voting power, determined on a fully-diluted, as-if-converted or exercised basis, whether such right is exercisable immediately or only after the passage of time, or (ii) all or substantially all of the assets or businesses of the Company and its Subsidiaries, taken as a whole, are transferred or sold, including by way of lease, transfer, conveyance or other disposition.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means the Securities and Exchange Commission or any successor thereto.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Share Reorganization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Trading Market</w:t>
      </w:r>
      <w:r>
        <w:rPr>
          <w:rFonts w:ascii="Times New Roman" w:hAnsi="Times New Roman"/>
          <w:sz w:val="20"/>
        </w:rPr>
        <w:t xml:space="preserve">” means, with respect to the ADSs, Ordinary Shares or any other Marketable Securities, the principal US exchange or market on which such securities are quoted or available for trading, including the Nasdaq, the NYSE, the OTC Bulletin Board or otherwise. </w:t>
      </w:r>
    </w:p>
    <w:p>
      <w:pPr>
        <w:pStyle w:val="TextBody"/>
        <w:bidi w:val="0"/>
        <w:spacing w:before="240" w:after="0"/>
        <w:jc w:val="left"/>
        <w:rPr/>
      </w:pPr>
      <w:r>
        <w:rPr/>
        <w:t>“</w:t>
      </w:r>
      <w:r>
        <w:rPr>
          <w:rFonts w:ascii="Times New Roman" w:hAnsi="Times New Roman"/>
          <w:b/>
          <w:i/>
          <w:sz w:val="20"/>
        </w:rPr>
        <w:t>Tranche 2 Issue Date</w:t>
      </w:r>
      <w:r>
        <w:rPr>
          <w:rFonts w:ascii="Times New Roman" w:hAnsi="Times New Roman"/>
          <w:sz w:val="20"/>
        </w:rPr>
        <w:t xml:space="preserve">” has the meaning set forth in the Note Purchase Agreement. </w:t>
      </w:r>
    </w:p>
    <w:p>
      <w:pPr>
        <w:pStyle w:val="TextBody"/>
        <w:bidi w:val="0"/>
        <w:spacing w:before="240" w:after="0"/>
        <w:jc w:val="left"/>
        <w:rPr/>
      </w:pPr>
      <w:r>
        <w:rPr/>
        <w:t>“</w:t>
      </w:r>
      <w:r>
        <w:rPr>
          <w:rFonts w:ascii="Times New Roman" w:hAnsi="Times New Roman"/>
          <w:b/>
          <w:i/>
          <w:sz w:val="20"/>
        </w:rPr>
        <w:t>Tranche 3 Issue Date</w:t>
      </w:r>
      <w:r>
        <w:rPr>
          <w:rFonts w:ascii="Times New Roman" w:hAnsi="Times New Roman"/>
          <w:sz w:val="20"/>
        </w:rPr>
        <w:t xml:space="preserve">” has the meaning set forth in the Note Purchase Agreement. </w:t>
      </w:r>
    </w:p>
    <w:p>
      <w:pPr>
        <w:pStyle w:val="TextBody"/>
        <w:bidi w:val="0"/>
        <w:spacing w:before="240" w:after="0"/>
        <w:jc w:val="left"/>
        <w:rPr/>
      </w:pPr>
      <w:r>
        <w:rPr/>
        <w:t>“</w:t>
      </w:r>
      <w:r>
        <w:rPr>
          <w:rFonts w:ascii="Times New Roman" w:hAnsi="Times New Roman"/>
          <w:b/>
          <w:i/>
          <w:sz w:val="20"/>
        </w:rPr>
        <w:t>Unrestricted Conditions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VWAP</w:t>
      </w:r>
      <w:r>
        <w:rPr>
          <w:rFonts w:ascii="Times New Roman" w:hAnsi="Times New Roman"/>
          <w:sz w:val="20"/>
        </w:rPr>
        <w:t xml:space="preserve">” means volume weighted average sale price of the ADSs on Trading Market as reported by Bloomberg for the preceding thirty (30) Business Days. </w:t>
      </w:r>
    </w:p>
    <w:p>
      <w:pPr>
        <w:pStyle w:val="TextBody"/>
        <w:bidi w:val="0"/>
        <w:spacing w:before="240" w:after="0"/>
        <w:jc w:val="left"/>
        <w:rPr/>
      </w:pPr>
      <w:r>
        <w:rPr/>
        <w:t>“</w:t>
      </w:r>
      <w:r>
        <w:rPr>
          <w:rFonts w:ascii="Times New Roman" w:hAnsi="Times New Roman"/>
          <w:b/>
          <w:i/>
          <w:sz w:val="20"/>
        </w:rPr>
        <w:t>Warrant Certificate</w:t>
      </w:r>
      <w:r>
        <w:rPr>
          <w:rFonts w:ascii="Times New Roman" w:hAnsi="Times New Roman"/>
          <w:sz w:val="20"/>
        </w:rPr>
        <w:t xml:space="preserve">” means this Warrant Certificate and all subsequent warrant certificates issued upon division, combination or transfer of, or in substitution for, this Warrant Certificate. </w:t>
      </w:r>
    </w:p>
    <w:p>
      <w:pPr>
        <w:pStyle w:val="TextBody"/>
        <w:bidi w:val="0"/>
        <w:spacing w:before="240" w:after="0"/>
        <w:jc w:val="left"/>
        <w:rPr/>
      </w:pPr>
      <w:r>
        <w:rPr/>
        <w:t>“</w:t>
      </w:r>
      <w:r>
        <w:rPr>
          <w:rFonts w:ascii="Times New Roman" w:hAnsi="Times New Roman"/>
          <w:b/>
          <w:i/>
          <w:sz w:val="20"/>
        </w:rPr>
        <w:t>Warrant Register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Warrant ADSs</w:t>
      </w:r>
      <w:r>
        <w:rPr>
          <w:rFonts w:ascii="Times New Roman" w:hAnsi="Times New Roman"/>
          <w:sz w:val="20"/>
        </w:rPr>
        <w:t xml:space="preserve">” means the ADSs representing Ordinary Shares to be issued pursuant to the terms of this Warrant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Warrant Shares</w:t>
      </w:r>
      <w:r>
        <w:rPr>
          <w:rFonts w:ascii="Times New Roman" w:hAnsi="Times New Roman"/>
          <w:sz w:val="20"/>
        </w:rPr>
        <w:t xml:space="preserve">” means the Ordinary Shares represented by the Warrant ADSs and any other Equity Interests into which such Ordinary Shares may be converted, exchanged or otherwise reclassified or modified pursuant to any Share Reorganization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Warrant Certificate to (1) the Company “issuing and selling” Warrant ADSs to the Holder and similar or analogous expressions, shall be understood to include references to the Company “allotting and issuing” the new Warrant Shares to the Depositary and procuring the issue of Warrant ADSs representing such Warrant Shares by the Depositary or its nominee to the relevant Holder; and (2) the “purchase of”, or “payment for”, any Warrant ADSs, and similar or analogous expressions, shall be understood to refer to the subscription for the Warrant Shares underlying those Warrant ADSs, as well as deposit of the Warrant Shares for Warrant ADSs, and the payment of the subscription monies (including the nominal value) in respect of such Warrant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rPr>
        <w:t>Term of Warrant Certificate</w:t>
      </w:r>
      <w:r>
        <w:rPr>
          <w:rFonts w:ascii="Times New Roman" w:hAnsi="Times New Roman"/>
          <w:sz w:val="20"/>
        </w:rPr>
        <w:t xml:space="preserve">. Subject to the terms and conditions hereof, from time to time during the Exercise Period, the Holder of this Warrant Certificate may exercise this Warrant Certificate for all or any part of the Warrant ADSs purchasable hereunder (subject to adjustment as provided 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rPr>
        <w:t>Exercise of Warrant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Exercise Procedure</w:t>
      </w:r>
      <w:r>
        <w:rPr>
          <w:rFonts w:ascii="Times New Roman" w:hAnsi="Times New Roman"/>
          <w:sz w:val="20"/>
        </w:rPr>
        <w:t xml:space="preserve">. This Warrant Certificate may be exercised from time to time on any Business Day during the Exercise Period, for all or any part of the unexercised Warrant ADS, upon: </w:t>
      </w:r>
    </w:p>
    <w:p>
      <w:pPr>
        <w:pStyle w:val="TextBody"/>
        <w:bidi w:val="0"/>
        <w:spacing w:before="240" w:after="0"/>
        <w:jc w:val="left"/>
        <w:rPr>
          <w:rFonts w:ascii="Times New Roman" w:hAnsi="Times New Roman"/>
          <w:sz w:val="20"/>
        </w:rPr>
      </w:pPr>
      <w:r>
        <w:rPr>
          <w:rFonts w:ascii="Times New Roman" w:hAnsi="Times New Roman"/>
          <w:sz w:val="20"/>
        </w:rPr>
        <w:t xml:space="preserve">(i) delivery to the Company of a duly completed and executed Exercise Certificate in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A</w:t>
      </w:r>
      <w:r>
        <w:rPr>
          <w:rFonts w:ascii="Times New Roman" w:hAnsi="Times New Roman"/>
          <w:sz w:val="20"/>
        </w:rPr>
        <w:t xml:space="preserve"> (each, an “</w:t>
      </w:r>
      <w:r>
        <w:rPr>
          <w:rFonts w:ascii="Times New Roman" w:hAnsi="Times New Roman"/>
          <w:b/>
          <w:i/>
          <w:sz w:val="20"/>
        </w:rPr>
        <w:t>Exercise Certificate</w:t>
      </w:r>
      <w:r>
        <w:rPr>
          <w:rFonts w:ascii="Times New Roman" w:hAnsi="Times New Roman"/>
          <w:sz w:val="20"/>
        </w:rPr>
        <w:t xml:space="preserve">”), which certificate will specify the number of Warrant ADSs to be purchased and the Aggregate Exercise Price together with the name and address of the Holder to which the Warrant ADSs arising on exercise of the Warrant Certificate are to be issued, and such other information as may be reasonably requested by the Depositary; and </w:t>
      </w:r>
    </w:p>
    <w:p>
      <w:pPr>
        <w:pStyle w:val="TextBody"/>
        <w:bidi w:val="0"/>
        <w:spacing w:before="240" w:after="0"/>
        <w:jc w:val="left"/>
        <w:rPr>
          <w:rFonts w:ascii="Times New Roman" w:hAnsi="Times New Roman"/>
          <w:sz w:val="20"/>
        </w:rPr>
      </w:pPr>
      <w:r>
        <w:rPr>
          <w:rFonts w:ascii="Times New Roman" w:hAnsi="Times New Roman"/>
          <w:sz w:val="20"/>
        </w:rPr>
        <w:t xml:space="preserve">(ii) substantially contemporaneously with the delivery of the Exercise Certificate, payment to the Company of the Aggregate Exercise Price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anything to the contrary herein, in no event shall the Exercise Price be lower than the nominal value of a Warrant Share.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of the Aggregate Exercise Price</w:t>
      </w:r>
      <w:r>
        <w:rPr>
          <w:rFonts w:ascii="Times New Roman" w:hAnsi="Times New Roman"/>
          <w:sz w:val="20"/>
        </w:rPr>
        <w:t xml:space="preserve">. Payment of the Aggregate Exercise Price shall be made, at the sole option of the Holder as expressed in the Exercise Certificate, by any of the following methods: </w:t>
      </w:r>
    </w:p>
    <w:p>
      <w:pPr>
        <w:pStyle w:val="TextBody"/>
        <w:bidi w:val="0"/>
        <w:spacing w:before="240" w:after="0"/>
        <w:jc w:val="left"/>
        <w:rPr>
          <w:rFonts w:ascii="Times New Roman" w:hAnsi="Times New Roman"/>
          <w:sz w:val="20"/>
        </w:rPr>
      </w:pPr>
      <w:r>
        <w:rPr>
          <w:rFonts w:ascii="Times New Roman" w:hAnsi="Times New Roman"/>
          <w:sz w:val="20"/>
        </w:rPr>
        <w:t xml:space="preserve">(i) by wire transfer of immediately available funds to an account designated in writing by the Company, in the amount of such Aggregate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(ii) by instructing the Company to withhold a number of Warrant ADSs then issuable upon exercise of this Warrant Certificate with an aggregate Fair Market Value as of the Exercise Date equal to such Aggregate Exercise Price;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withholding of Warrant ADSs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3(b)(ii) </w:t>
      </w:r>
      <w:r>
        <w:rPr>
          <w:rFonts w:ascii="Times New Roman" w:hAnsi="Times New Roman"/>
          <w:sz w:val="20"/>
        </w:rPr>
        <w:t xml:space="preserve">or </w:t>
      </w:r>
      <w:r>
        <w:rPr>
          <w:rFonts w:ascii="Times New Roman" w:hAnsi="Times New Roman"/>
          <w:b/>
          <w:sz w:val="20"/>
        </w:rPr>
        <w:t>(iii)</w:t>
      </w:r>
      <w:r>
        <w:rPr>
          <w:rFonts w:ascii="Times New Roman" w:hAnsi="Times New Roman"/>
          <w:sz w:val="20"/>
        </w:rPr>
        <w:t xml:space="preserve"> (such method of payment is herein referred to as “</w:t>
      </w:r>
      <w:r>
        <w:rPr>
          <w:rFonts w:ascii="Times New Roman" w:hAnsi="Times New Roman"/>
          <w:b/>
          <w:i/>
          <w:sz w:val="20"/>
        </w:rPr>
        <w:t>Cashless Exercise</w:t>
      </w:r>
      <w:r>
        <w:rPr>
          <w:rFonts w:ascii="Times New Roman" w:hAnsi="Times New Roman"/>
          <w:sz w:val="20"/>
        </w:rPr>
        <w:t xml:space="preserve">”) where the number of such ADSs whose value is equal to the Aggregate Exercise Price is not a whole number, the number of such ADSs withheld by the Company shall be rounded up to the nearest whole share and the Company shall make a cash payment to the Holder (by wire transfer of immediately available funds to an account designated by the Holder) in an amount calculated as provided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3(e)</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applicable Law, for purposes of Rule 144, it is acknowledged and agreed that (i) the Warrant ADSs issuable upon any exercise of this Warrant Certificate in any Cashless Exercise transaction shall be deemed to have been acquired on the Issue Date, and (ii) the holding period for any Warrant ADSs issuable upon the exercise of this Warrant Certificate in any Cashless Exercise transaction shall be deemed to have commenced on the Issue Date. </w:t>
      </w:r>
    </w:p>
    <w:p>
      <w:pPr>
        <w:pStyle w:val="TextBody"/>
        <w:bidi w:val="0"/>
        <w:spacing w:before="240" w:after="0"/>
        <w:jc w:val="left"/>
        <w:rPr>
          <w:rFonts w:ascii="Times New Roman" w:hAnsi="Times New Roman"/>
          <w:sz w:val="20"/>
        </w:rPr>
      </w:pPr>
      <w:r>
        <w:rPr>
          <w:rFonts w:ascii="Times New Roman" w:hAnsi="Times New Roman"/>
          <w:sz w:val="20"/>
        </w:rPr>
        <w:t>Where the Holder elects to exercise its Warrant Certificate by way of Cashless Exercise, the Holder shall pay the nominal value for the Warrant Shares underlying the Warrant ADSs resulting from the above formula (the aggregate nominal value payable to the Company in respect of all such Warrant Shares being so subscribed shall be rounded up to the nearest £1 (the “</w:t>
      </w:r>
      <w:r>
        <w:rPr>
          <w:rFonts w:ascii="Times New Roman" w:hAnsi="Times New Roman"/>
          <w:b/>
          <w:i/>
          <w:sz w:val="20"/>
        </w:rPr>
        <w:t>Nominal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notify the Holder of the Nominal Price and the Holder covenants to pay the Nominal Price to the Company in cash in the manner set out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3(b)(i) </w:t>
      </w:r>
      <w:r>
        <w:rPr>
          <w:rFonts w:ascii="Times New Roman" w:hAnsi="Times New Roman"/>
          <w:sz w:val="20"/>
        </w:rPr>
        <w:t xml:space="preserve">within ten Business Days of such notification.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Automatic Cashless Exercise</w:t>
      </w:r>
      <w:r>
        <w:rPr>
          <w:rFonts w:ascii="Times New Roman" w:hAnsi="Times New Roman"/>
          <w:sz w:val="20"/>
        </w:rPr>
        <w:t xml:space="preserve">. To the extent this Warrant Certificate has not been exercised in full by the Holder prior to the date of any of the following events or circumstances, any portion of this Warrant that remains unexercised on such date shall be deemed to have been exercised automatically pursuant to a Cashless Exercise, in whole (and not in part), on the Business Day immediately preceding the earlier of (i) the occurrence of the Expiration Date and (ii) the consummation of a Sale of the Company in which the consideration to be received by the Company or its shareholders consists solely of cash, Marketable Securities or a combination thereof; </w:t>
      </w:r>
      <w:r>
        <w:rPr>
          <w:rFonts w:ascii="Times New Roman" w:hAnsi="Times New Roman"/>
          <w:sz w:val="20"/>
          <w:u w:val="single"/>
        </w:rPr>
        <w:t>provided</w:t>
      </w:r>
      <w:r>
        <w:rPr>
          <w:rFonts w:ascii="Times New Roman" w:hAnsi="Times New Roman"/>
          <w:sz w:val="20"/>
        </w:rPr>
        <w:t xml:space="preserve"> that, unless the Holder otherwise notifies the Company in writing, the automatic Cashless Exercise contemplated by this </w:t>
      </w:r>
      <w:r>
        <w:rPr>
          <w:rFonts w:ascii="Times New Roman" w:hAnsi="Times New Roman"/>
          <w:b/>
          <w:sz w:val="20"/>
        </w:rPr>
        <w:t>Section</w:t>
      </w:r>
      <w:r>
        <w:rPr>
          <w:rFonts w:ascii="Times New Roman" w:hAnsi="Times New Roman"/>
          <w:sz w:val="20"/>
        </w:rPr>
        <w:t> </w:t>
      </w:r>
      <w:r>
        <w:rPr>
          <w:rFonts w:ascii="Times New Roman" w:hAnsi="Times New Roman"/>
          <w:b/>
          <w:sz w:val="20"/>
        </w:rPr>
        <w:t>3(c)</w:t>
      </w:r>
      <w:r>
        <w:rPr>
          <w:rFonts w:ascii="Times New Roman" w:hAnsi="Times New Roman"/>
          <w:sz w:val="20"/>
        </w:rPr>
        <w:t xml:space="preserve"> shall not occur, and this Warrant Certificate shall automatically terminate without additional cost to the Holder, in the event that, as of the Business Day immediately preceding any event described in the preceding </w:t>
      </w:r>
      <w:r>
        <w:rPr>
          <w:rFonts w:ascii="Times New Roman" w:hAnsi="Times New Roman"/>
          <w:b/>
          <w:sz w:val="20"/>
        </w:rPr>
        <w:t>clauses (i)</w:t>
      </w:r>
      <w:r>
        <w:rPr>
          <w:rFonts w:ascii="Times New Roman" w:hAnsi="Times New Roman"/>
          <w:sz w:val="20"/>
        </w:rPr>
        <w:t xml:space="preserve"> or </w:t>
      </w:r>
      <w:r>
        <w:rPr>
          <w:rFonts w:ascii="Times New Roman" w:hAnsi="Times New Roman"/>
          <w:b/>
          <w:sz w:val="20"/>
        </w:rPr>
        <w:t xml:space="preserve">(ii) </w:t>
      </w:r>
      <w:r>
        <w:rPr>
          <w:rFonts w:ascii="Times New Roman" w:hAnsi="Times New Roman"/>
          <w:sz w:val="20"/>
        </w:rPr>
        <w:t xml:space="preserve">above, the Fair Market Value of a Warrant Share is less than the Exercise Price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Delivery of Warrant ADSs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agrees that with respect to any exercise of this Warrant Certificate by the Holder, upon receipt by the Company of the Exercise Certificate and delivery of the Aggregate Exercise Price,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issue to, deposit with (and otherwise register in the name of) the custodian of the Depositary (or its nominee) the number of Warrant Shares to be issued and allotted in accordance with the Exercise Certificate and enter, or procure that the Company’s registrars enter the custodian of the Depositary’s name in the register of members of the Company as the holder of the relevant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procure that the Depositary (i) within five (5) Business Days, delivers in accordance with the terms hereof to or upon the order of the Holder that number of Warrant ADSs for the portion of this Warrant Certificate so exercised on such date, together with cash in lieu of any fraction of a share,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3(e)</w:t>
      </w:r>
      <w:r>
        <w:rPr>
          <w:rFonts w:ascii="Times New Roman" w:hAnsi="Times New Roman"/>
          <w:sz w:val="20"/>
        </w:rPr>
        <w:t xml:space="preserve"> below and (ii) credit such aggregate number of Warrant ADSs to which the Holder is entitled pursuant to such exercise, without any restrictive legend, to the Holder’s or its designee’s balance account with The Depository Trust Company (“</w:t>
      </w:r>
      <w:r>
        <w:rPr>
          <w:rFonts w:ascii="Times New Roman" w:hAnsi="Times New Roman"/>
          <w:b/>
          <w:i/>
          <w:sz w:val="20"/>
        </w:rPr>
        <w:t>DTC</w:t>
      </w:r>
      <w:r>
        <w:rPr>
          <w:rFonts w:ascii="Times New Roman" w:hAnsi="Times New Roman"/>
          <w:sz w:val="20"/>
        </w:rPr>
        <w:t xml:space="preserve">”) through its Deposit/Withdrawal at Custodian system if the Depositary is then a participant in such system and otherwise credit the Warrant ADSs to the Holder’s or its designee’s balance account on the ADS register, which may be the ADS register maintained by the Depositary on behalf of the Company, </w:t>
      </w:r>
      <w:r>
        <w:rPr>
          <w:rFonts w:ascii="Times New Roman" w:hAnsi="Times New Roman"/>
          <w:sz w:val="20"/>
          <w:u w:val="single"/>
        </w:rPr>
        <w:t>provided</w:t>
      </w:r>
      <w:r>
        <w:rPr>
          <w:rFonts w:ascii="Times New Roman" w:hAnsi="Times New Roman"/>
          <w:sz w:val="20"/>
        </w:rPr>
        <w:t xml:space="preserve"> that the Warrant ADSs will only be issued in unrestricted form if the Unrestricted Conditions are satisfied. Unless as otherwise provided herein, upon any exercise hereof this Warrant Certificate shall be deemed to have been exercised and such certificate or certificates of Warrant ADSs shall be deemed to have been issued (if applicable), and the Holder shall be deemed to have become a holder of record of such Warrant ADSs for all purposes, as of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 The Warrant Shares shall: </w:t>
      </w:r>
    </w:p>
    <w:p>
      <w:pPr>
        <w:pStyle w:val="TextBody"/>
        <w:bidi w:val="0"/>
        <w:spacing w:before="120" w:after="0"/>
        <w:jc w:val="left"/>
        <w:rPr>
          <w:rFonts w:ascii="Times New Roman" w:hAnsi="Times New Roman"/>
          <w:sz w:val="20"/>
        </w:rPr>
      </w:pPr>
      <w:r>
        <w:rPr>
          <w:rFonts w:ascii="Times New Roman" w:hAnsi="Times New Roman"/>
          <w:sz w:val="20"/>
        </w:rPr>
        <w:t xml:space="preserve">(A) be allotted and issued fully paid; </w:t>
      </w:r>
    </w:p>
    <w:p>
      <w:pPr>
        <w:pStyle w:val="TextBody"/>
        <w:bidi w:val="0"/>
        <w:spacing w:before="120" w:after="0"/>
        <w:jc w:val="left"/>
        <w:rPr>
          <w:rFonts w:ascii="Times New Roman" w:hAnsi="Times New Roman"/>
          <w:sz w:val="20"/>
        </w:rPr>
      </w:pPr>
      <w:r>
        <w:rPr>
          <w:rFonts w:ascii="Times New Roman" w:hAnsi="Times New Roman"/>
          <w:sz w:val="20"/>
        </w:rPr>
        <w:t xml:space="preserve">(B) rank pari passu with the Ordinary Shares then in issue; </w:t>
      </w:r>
    </w:p>
    <w:p>
      <w:pPr>
        <w:pStyle w:val="TextBody"/>
        <w:bidi w:val="0"/>
        <w:spacing w:before="120" w:after="0"/>
        <w:jc w:val="left"/>
        <w:rPr>
          <w:rFonts w:ascii="Times New Roman" w:hAnsi="Times New Roman"/>
          <w:sz w:val="20"/>
        </w:rPr>
      </w:pPr>
      <w:r>
        <w:rPr>
          <w:rFonts w:ascii="Times New Roman" w:hAnsi="Times New Roman"/>
          <w:sz w:val="20"/>
        </w:rPr>
        <w:t xml:space="preserve">(C) rank for any dividend or other distribution which has previously been announced or declared if the date by which the holder of Warrant Shares must be registered to participate in such dividend or other distribution is after the Exercise Date pursuant to which the Warrant Certificate have been exercised; and </w:t>
      </w:r>
    </w:p>
    <w:p>
      <w:pPr>
        <w:pStyle w:val="TextBody"/>
        <w:bidi w:val="0"/>
        <w:spacing w:before="120" w:after="0"/>
        <w:jc w:val="left"/>
        <w:rPr>
          <w:rFonts w:ascii="Times New Roman" w:hAnsi="Times New Roman"/>
          <w:sz w:val="20"/>
        </w:rPr>
      </w:pPr>
      <w:r>
        <w:rPr>
          <w:rFonts w:ascii="Times New Roman" w:hAnsi="Times New Roman"/>
          <w:sz w:val="20"/>
        </w:rPr>
        <w:t xml:space="preserve">(D) be free from all claims, liens, charges, encumbrances, equities and third-party rights.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Fractional Shares</w:t>
      </w:r>
      <w:r>
        <w:rPr>
          <w:rFonts w:ascii="Times New Roman" w:hAnsi="Times New Roman"/>
          <w:sz w:val="20"/>
        </w:rPr>
        <w:t xml:space="preserve">. The Company and the Depositary shall not be required to issue a fractional Warrant ADS upon exercise of any Warrant Certificate. As to any fraction of a Warrant ADS that the Holder would otherwise be entitled upon such exercise, including pursuant to a Cashless Exercise, the Company shall pay to such Holder an amount in cash (by wire transfer of immediately available funds to an account designated by the Holder) equal to the product of (i) such fraction multiplied by (ii) the Fair Market Value of one Warrant ADS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Surrender of this Warrant; Delivery of New Warrant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Holder shall not be required to physically surrender this Warrant to the Company until this Warrant has been exercised in full by the Holder, in which case, the Holder shall, at the written request of the Company, surrender this Warrant to the Company for cancellation within five (5) Business Days after the date the final Exercise Certificate is delivered to the Company and the Warrant ADSs (and the relevant Warrant Shares) issuable in connection with such Exercise Certificate have been issued and delivered by the Company. Partial exercises of this Warrant resulting in purchases of a portion of the total number of Warrant ADSs available hereunder shall have the effect of lowering the outstanding number of Warrant ADSs issuable hereunder by an amount equal to the applicable number of Warrant ADSs that have been issued hereunder as a result of previous exercises and withheld in connection with Cashless Exercises.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hereof the Company shall maintain the Warrant Register which will, among other things, record the number of Warrant ADS issued and purchased, the date of such issuances and purchases and the number of Warrant ADSs withheld in connection with Cashless Exercises. The Holder and any assignee, by acceptance of this Warrant, acknowledge and agree that, by reason of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3(f)</w:t>
      </w:r>
      <w:r>
        <w:rPr>
          <w:rFonts w:ascii="Times New Roman" w:hAnsi="Times New Roman"/>
          <w:sz w:val="20"/>
        </w:rPr>
        <w:t xml:space="preserve">, following the purchase of a portion of the Warrant ADS hereunder, the number of Warrant ADS available for purchase hereunder at any given time may be fewer than the amount stated on the face hereof.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the foregoing, to the extent that there are unexpired and unexercised Warrant ADSs remaining under the Warrant Certificate, the Holder may request that the Company (and the Company shall), at the time of issuance of any Warrant ADSs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3(d)</w:t>
      </w:r>
      <w:r>
        <w:rPr>
          <w:rFonts w:ascii="Times New Roman" w:hAnsi="Times New Roman"/>
          <w:sz w:val="20"/>
        </w:rPr>
        <w:t xml:space="preserve"> and the surrender of this Warrant Certificate, deliver to the Holder a new Warrant evidencing the rights of the Holder to purchase the unexpired, unexercised and not withheld (in connection with Cashless Exercises) Warrant ADSs called for by this Warrant Certificate. Unless otherwise agreed upon by the Holder such new Warrant Certificate shall in all other respects be identical to this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Valid Issuance of Warrant Certificate and Warrant Shares; Payment of Taxes</w:t>
      </w:r>
      <w:r>
        <w:rPr>
          <w:rFonts w:ascii="Times New Roman" w:hAnsi="Times New Roman"/>
          <w:sz w:val="20"/>
        </w:rPr>
        <w:t xml:space="preserve">. With respect to the exercise of this Warrant Certificate, the Company hereby represents, warrants, covenants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This Warrant Certificate is, and any Warrant Certificate issued in substitution for or replacement of this Warrant Certificate shall be, upon issuance,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(ii) All Warrant ADSs (and the corresponding Warrant Shares) issuable upon the exercise of this Warrant Certificate (or any substitute or replacement Warrant Certificate) shall be, upon issuance, and the Company shall take all such actions as may be necessary or appropriate in order that such Warrant ADSs (and the corresponding Warrant Shares) are, validly issued, fully paid and not subject to any call for payment of further capital, issued without violation of any pre-emptive or similar rights of any shareholder of the Company and free and clear of all liens and charges. The Warrant Certificate and the Warrant ADSs (and the corresponding Warrant Shares) shall be issued pursuant to the authorities granted by the shareholders to the Board on June 28, 2024 and no further authorisation is required under section 551 and section 561(1) of the Companies Act to issue the maximum number of Warrant ADSs (and the corresponding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shall take all such actions as may be necessary to (x) comply with </w:t>
      </w:r>
      <w:r>
        <w:rPr>
          <w:rFonts w:ascii="Times New Roman" w:hAnsi="Times New Roman"/>
          <w:b/>
          <w:sz w:val="20"/>
        </w:rPr>
        <w:t>Section</w:t>
      </w:r>
      <w:r>
        <w:rPr>
          <w:rFonts w:ascii="Times New Roman" w:hAnsi="Times New Roman"/>
          <w:sz w:val="20"/>
        </w:rPr>
        <w:t> </w:t>
      </w:r>
      <w:r>
        <w:rPr>
          <w:rFonts w:ascii="Times New Roman" w:hAnsi="Times New Roman"/>
          <w:b/>
          <w:sz w:val="20"/>
        </w:rPr>
        <w:t>3(i)</w:t>
      </w:r>
      <w:r>
        <w:rPr>
          <w:rFonts w:ascii="Times New Roman" w:hAnsi="Times New Roman"/>
          <w:sz w:val="20"/>
        </w:rPr>
        <w:t xml:space="preserve"> below and (y) ensure that all such Warrant ADSs are issued without violation by the Company of its Articles or any applicable Law or any requirements of any U.S. or non-U.S. securities exchange upon which Warrant ADSs may be listed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(iv) The Company shall pay all expenses in connection with, and all governmental charges that may be imposed with respect to, the issuance or delivery of Warrant ADSs issuable upon exercise of this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(v) The Company is a duly incorporated and validly existing public limited company under the laws of England and Wales and has the capacity and corporate power and authority to enter into, deliver and perform this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(vi) The Company has taken or caused to be taken all action required to be taken to authorize the execution, delivery and performance of this Warrant Certificate and the issuance of the Warrant ADSs (and the corresponding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(vii) This Warrant Certificate has been duly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(viii) The obligations of the Company under this Warrant Certificate are legal, valid and binding obligations, enforceable against the Company in accordance with the terms hereof and thereof,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(ix) The Company has complied with all obligations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3(i)</w:t>
      </w:r>
      <w:r>
        <w:rPr>
          <w:rFonts w:ascii="Times New Roman" w:hAnsi="Times New Roman"/>
          <w:sz w:val="20"/>
        </w:rPr>
        <w:t xml:space="preserve"> and </w:t>
      </w:r>
      <w:r>
        <w:rPr>
          <w:rFonts w:ascii="Times New Roman" w:hAnsi="Times New Roman"/>
          <w:b/>
          <w:sz w:val="20"/>
        </w:rPr>
        <w:t>3(j)</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(x) The Company shall at all times during the Exercise Period maintain sufficient capacity under its Registration Statement (including, without limitation, on Form F-6) to permit the issuance by the Depositary of the maximum number of Warrant ADSs then issuable upon exercise of this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Conditional Exercise.</w:t>
      </w:r>
      <w:r>
        <w:rPr>
          <w:rFonts w:ascii="Times New Roman" w:hAnsi="Times New Roman"/>
          <w:sz w:val="20"/>
        </w:rPr>
        <w:t xml:space="preserve"> Notwithstanding any other provision hereof, if an exercise of all or any portion of this Warrant Certificate is to be made in connection with a Sale of the Company or other possible liquidity transaction or event, such exercise may, at the election of the Holder, be conditioned upon the consummation of such transaction, in which case such exercise shall not be deemed to be effective until immediately prior to the consummation of such transaction or event.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Reservation of Shares</w:t>
      </w:r>
      <w:r>
        <w:rPr>
          <w:rFonts w:ascii="Times New Roman" w:hAnsi="Times New Roman"/>
          <w:sz w:val="20"/>
        </w:rPr>
        <w:t xml:space="preserve">. The Company shall not increase the nominal value of any Warrant Shares being represented by the Warrant ADSs receivable upon the exercise of this Warrant Certificate above the Exercise Price then in effect, and shall take all such actions within its power as may be necessary or appropriate in order that the Company may validly allot and issue Warrant Shares, fully paid and without any call for payment of further capital, upon the exercise of this Warrant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Ownership Cap</w:t>
      </w:r>
      <w:r>
        <w:rPr>
          <w:rFonts w:ascii="Times New Roman" w:hAnsi="Times New Roman"/>
          <w:sz w:val="20"/>
        </w:rPr>
        <w:t xml:space="preserve">. The Company shall not knowingly effect the exercise of this Warrant Certificate, and the Initial Holder shall not have the right to exercise this Warrant Certificate to the extent that, after giving effect to such exercise, the Initial Holder (together with its Affiliates) would beneficially own in excess of 9.99% of the Ordinary Shares of the Company immediately after giving effect to such exercise. For purposes of the foregoing sentence, the aggregate number of such voting Equity Interests beneficially owned by the Initial Holder and its Affiliates shall include the number of Warrant Shares issuable upon exercise of this Warrant Certificate with respect to which the determination of such aggregate number is being made, but shall exclude Warrant Shares (if any) that do not have ordinary voting rights, if any, or that would be issuable upon (i) exercise of the remaining, unexercised portion of this Warrant Certificate beneficially owned by the Initial Holder and its Affiliates and (ii) exercise or conversion of the unexercised or unconverted portion of any other Equity Interests of the Company beneficially owned by the Initial Holder and its Affiliates (including, without limitation, any Convertible Securities) subject to a limitation on conversion or exercise analogous to the limitations contained herein. Except as set forth in the preceding sentence, for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3(k)</w:t>
      </w:r>
      <w:r>
        <w:rPr>
          <w:rFonts w:ascii="Times New Roman" w:hAnsi="Times New Roman"/>
          <w:sz w:val="20"/>
        </w:rPr>
        <w:t xml:space="preserve">, beneficial ownership shall be calculated in accordance with Section 13(d) of the Exchange Act. For purposes of this Warrant Certificate, in determining the number of outstanding Ordinary Shares, the Initial Holder of this Warrant Certificate may rely on the number of such outstanding Equity Interests as reflected in the most recent of (i) if available, the Company’s Form 10-K, Form 10-Q or other public filing with the SEC, as the case may be, (ii) a more recent public announcement by the Company, or (iii) any other written notice or statement by the Company or its transfer agent setting forth the number of outstanding Ordinary Shares. In addition, upon the written request of the Initial Holder, the Company shall, within five (5) Business Days, confirm to the Initial Holder the number of the Company’s outstanding Ordinary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r>
        <w:rPr>
          <w:rFonts w:ascii="Times New Roman" w:hAnsi="Times New Roman"/>
          <w:b/>
          <w:sz w:val="20"/>
        </w:rPr>
        <w:t>Adjustment to Number of Warrant ADSs, Exercise Price, etc</w:t>
      </w:r>
      <w:r>
        <w:rPr>
          <w:rFonts w:ascii="Times New Roman" w:hAnsi="Times New Roman"/>
          <w:sz w:val="20"/>
        </w:rPr>
        <w:t xml:space="preserve">. The number of Warrant ADSs issuable upon exercise of this Warrant Certificate shall be subject to adjustment from time to time as provided in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Adjustment to Number of Warrant ADSs Upon Reorganizations, Reclassifications, etc.</w:t>
      </w:r>
      <w:r>
        <w:rPr>
          <w:rFonts w:ascii="Times New Roman" w:hAnsi="Times New Roman"/>
          <w:sz w:val="20"/>
        </w:rPr>
        <w:t xml:space="preserve"> In the event of any changes in the aggregate number of outstanding Ordinary Shares of the Company by reason of redemptions, recapitalizations, redesignation, combinations or exchanges of shares, share consolidation, share sub-division, separations, reorganizations, liquidations, substitutions, replacements or the like (any of the foregoing or combination thereof being a “</w:t>
      </w:r>
      <w:r>
        <w:rPr>
          <w:rFonts w:ascii="Times New Roman" w:hAnsi="Times New Roman"/>
          <w:b/>
          <w:sz w:val="20"/>
        </w:rPr>
        <w:t>Share Reorganization</w:t>
      </w:r>
      <w:r>
        <w:rPr>
          <w:rFonts w:ascii="Times New Roman" w:hAnsi="Times New Roman"/>
          <w:sz w:val="20"/>
        </w:rPr>
        <w:t xml:space="preserve">”), the Exercise Price and the aggregate number of Warrant ADSs then available upon exercise of this Warrant Certificate shall be correspondingly adjusted, such that the Exercise Price shall be adjusted by multiplying the Exercise Price in effect immediately prior to the record date for the determination of such Share Reorganization by a fraction, the numerator of which shall be the number of Ordinary Shares outstanding immediately before such event and the denominator of which shall be the number of Ordinary Shares outstanding immediately after such event, and the number of Warrant ADSs issuable upon exercise of this Warrant Certificate shall be proportionately adjusted such that (i) the Aggregate Exercise Price shall remain unchanged and (ii) the Holder shall be entitled to receive, upon exercise of this Warrant Certificate, the total number of ADSs representing the Ordinary Shares it would have owned as a result of exercising this Warrant Certificate had this Warrant Certificate been exercised immediately prior to such Share Reorganization and had the Holder continued to hold such ADSs representing the Ordinary Shares until after giving effect to such Share Reorganization and the resulting adjustment. In the event of a change to the ADS to Ordinary Share ratio, the Exercise Price and the number of Warrant ADSs shall be adjusted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Effect of Dividends, Distributions, Etc</w:t>
      </w:r>
      <w:r>
        <w:rPr>
          <w:rFonts w:ascii="Times New Roman" w:hAnsi="Times New Roman"/>
          <w:sz w:val="20"/>
        </w:rPr>
        <w:t xml:space="preserve">. If (i) the Company declares or pays a dividend or distribution on the outstanding shares of its Ordinary Shares, or (ii) the Depositary declares or pays a dividend or distribution on the outstanding ADSs, in each case payable in cash, Equity Interests or other property (or prior to the exercise of this Warrant Certificate in full the holders of the Company’s Ordinary Shares or ADSs, as applicable, become entitled to receive any such dividend or distribution), then upon exercise of this Warrant Certificate, for each Warrant ADS acquired, the Holder shall receive, without additional cost to the Holder, the total amount, number and kind of cash, Equity Interests or other property which the Holder would have received had the Holder owned the Warrant ADS of record as of the date such dividend or distribution was paid; </w:t>
      </w:r>
      <w:r>
        <w:rPr>
          <w:rFonts w:ascii="Times New Roman" w:hAnsi="Times New Roman"/>
          <w:sz w:val="20"/>
          <w:u w:val="single"/>
        </w:rPr>
        <w:t>provided</w:t>
      </w:r>
      <w:r>
        <w:rPr>
          <w:rFonts w:ascii="Times New Roman" w:hAnsi="Times New Roman"/>
          <w:sz w:val="20"/>
        </w:rPr>
        <w:t xml:space="preserve"> that (x) no adjustment shall be made under this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to the extent that the Warrant ADSs issued upon exercise of this Warrant Certificate will be issued together with or otherwise entitled to receive the relevant cash, Equity Interests or other property, and (y) no adjustment shall be made under this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in respect of any dividend or distribution on the ADSs to the extent an adjustment has already been made under this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in respect of the corresponding dividend or distribution on the Ordinary Shares for the same event.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Certificate as to Adjustment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promptly as reasonably practicable upon the request of the Holder following any change or adjustment of the type described above in this </w:t>
      </w:r>
      <w:r>
        <w:rPr>
          <w:rFonts w:ascii="Times New Roman" w:hAnsi="Times New Roman"/>
          <w:b/>
          <w:sz w:val="20"/>
        </w:rPr>
        <w:t>Section</w:t>
      </w:r>
      <w:r>
        <w:rPr>
          <w:rFonts w:ascii="Times New Roman" w:hAnsi="Times New Roman"/>
          <w:sz w:val="20"/>
        </w:rPr>
        <w:t> </w:t>
      </w:r>
      <w:r>
        <w:rPr>
          <w:rFonts w:ascii="Times New Roman" w:hAnsi="Times New Roman"/>
          <w:b/>
          <w:sz w:val="20"/>
        </w:rPr>
        <w:t>4</w:t>
      </w:r>
      <w:r>
        <w:rPr>
          <w:rFonts w:ascii="Times New Roman" w:hAnsi="Times New Roman"/>
          <w:sz w:val="20"/>
        </w:rPr>
        <w:t xml:space="preserve">, but in any event not later than five (5) Business Days thereafter, the Company shall furnish to the Holder a certificate of a Responsible Officer setting forth in reasonable detail such change or adjustment and the facts upon which it is based and certifying the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(ii) As promptly as reasonably practicable following the receipt by the Company of a written request by the Holder, but in any event not later than five (5) Business Days thereafter, the Company shall furnish to the Holder a certificate of a Responsible Officer certifying the number of Warrant ADSs or the amount, if any, of other Equity Interests, securities or assets then issuable upon exercise of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Notices</w:t>
      </w:r>
      <w:r>
        <w:rPr>
          <w:rFonts w:ascii="Times New Roman" w:hAnsi="Times New Roman"/>
          <w:sz w:val="20"/>
        </w:rPr>
        <w:t xml:space="preserve">. In the event that, at any time during the Exercise Period the Company shall take a record of the holders of its outstanding shares (or other Equity Interests at the time issuable upon exercise of this Warrant Certificate) for the purpose of: </w:t>
      </w:r>
    </w:p>
    <w:p>
      <w:pPr>
        <w:pStyle w:val="TextBody"/>
        <w:bidi w:val="0"/>
        <w:spacing w:before="240" w:after="0"/>
        <w:jc w:val="left"/>
        <w:rPr>
          <w:rFonts w:ascii="Times New Roman" w:hAnsi="Times New Roman"/>
          <w:sz w:val="20"/>
        </w:rPr>
      </w:pPr>
      <w:r>
        <w:rPr>
          <w:rFonts w:ascii="Times New Roman" w:hAnsi="Times New Roman"/>
          <w:sz w:val="20"/>
        </w:rPr>
        <w:t xml:space="preserve">(i) entitling or enabling such holders to receive any dividend or other distribution, to receive any right to subscribe for or purchase any shares of any class or any other securities, or to receive any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(ii) (x) any capital reorganization of the Company, any reclassification of any outstanding securities, any consolidation or merger of the Company with or into another Person, any public offering of the Company’s Equity Interests, or (y) a Sale of the Company;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voluntary or involuntary dissolution, liquidation or winding-up of the Company (including by way of a bankruptcy or similar event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Company shall send or cause to be sent to the Holder at least ten (10) Business Days prior to the applicable record date or the applicable expected effective date, as the case may be, for the event, a written notice prepared in reasonable detail specifying, as the case may be, (A) the record date for such dividend, distribution or other right or action, and a description of such dividend, distribution or other right or action, or (B) the effective date on which such reorganization, reclassification, consolidation, merger, sale, dissolution, liquidation or winding-up is proposed to take place, and the date, if any is to be fixed, as of which the books of the Company shall close or a record shall be taken with respect to which the holders of record of its shares (or such other Equity Interests at the time issuable upon exercise of the Warrant Certificate) shall be entitled to exchange their shares (or such other Equity Interests), for securities or other property deliverable upon such reorganization, reclassification, consolidation, merger, sale, dissolution, liquidation or winding-up, and the amount per share and character of such exchange applicable to the Warrant Certificate and the Warrant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w:t>
      </w:r>
      <w:r>
        <w:rPr>
          <w:rFonts w:ascii="Times New Roman" w:hAnsi="Times New Roman"/>
          <w:b/>
          <w:sz w:val="20"/>
        </w:rPr>
        <w:t>Warrant Register</w:t>
      </w:r>
      <w:r>
        <w:rPr>
          <w:rFonts w:ascii="Times New Roman" w:hAnsi="Times New Roman"/>
          <w:sz w:val="20"/>
        </w:rPr>
        <w:t>. The Company shall keep and properly maintain at its registered office a register (the “</w:t>
      </w:r>
      <w:r>
        <w:rPr>
          <w:rFonts w:ascii="Times New Roman" w:hAnsi="Times New Roman"/>
          <w:b/>
          <w:i/>
          <w:sz w:val="20"/>
        </w:rPr>
        <w:t>Warrant Register</w:t>
      </w:r>
      <w:r>
        <w:rPr>
          <w:rFonts w:ascii="Times New Roman" w:hAnsi="Times New Roman"/>
          <w:sz w:val="20"/>
        </w:rPr>
        <w:t xml:space="preserve">”)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r>
        <w:rPr>
          <w:rFonts w:ascii="Times New Roman" w:hAnsi="Times New Roman"/>
          <w:b/>
          <w:sz w:val="20"/>
        </w:rPr>
        <w:t>Transfer of Warrant Certificate</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sz w:val="20"/>
        </w:rPr>
        <w:t xml:space="preserve">hereof, this Warrant Certificate and all rights hereunder are assignable and transferable, in whole or in part, by the Holder without charge to the Holder, upon surrender of this Warrant Certificate to the Company at its then registered office with a properly completed and duly executed instrument of assignment in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(an “</w:t>
      </w:r>
      <w:r>
        <w:rPr>
          <w:rFonts w:ascii="Times New Roman" w:hAnsi="Times New Roman"/>
          <w:b/>
          <w:i/>
          <w:sz w:val="20"/>
        </w:rPr>
        <w:t>Assignment</w:t>
      </w:r>
      <w:r>
        <w:rPr>
          <w:rFonts w:ascii="Times New Roman" w:hAnsi="Times New Roman"/>
          <w:sz w:val="20"/>
        </w:rPr>
        <w:t xml:space="preserve">”). Upon such compliance, surrender and delivery, the Company shall execute and deliver a new Warrant Certificate or Warrant Certificates in the name of the assignee or assignees and in the denominations specified in such Assignment, and shall issue to the assignor a new Warrant Certificate evidencing the portion of this Warrant Certificate, if any, not so assigned, and this Warrant Certificate shall promptly be cancelled. The Holder shall bear, and pay, any documentary, registration, transfer, stamp or other similar taxes or duties including, for the avoidance of doubt, United Kingdom stamp duty and stamp duty reserve tax, arising in connection with any assignment or transfer of this Warrant.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w:t>
      </w:r>
      <w:r>
        <w:rPr>
          <w:rFonts w:ascii="Times New Roman" w:hAnsi="Times New Roman"/>
          <w:b/>
          <w:sz w:val="20"/>
        </w:rPr>
        <w:t>The Holder Not Deemed a Shareholder; Limitations on Liability</w:t>
      </w:r>
      <w:r>
        <w:rPr>
          <w:rFonts w:ascii="Times New Roman" w:hAnsi="Times New Roman"/>
          <w:sz w:val="20"/>
        </w:rPr>
        <w:t xml:space="preserve">. Except as otherwise specifically provided herein (including in </w:t>
      </w:r>
      <w:r>
        <w:rPr>
          <w:rFonts w:ascii="Times New Roman" w:hAnsi="Times New Roman"/>
          <w:b/>
          <w:sz w:val="20"/>
        </w:rPr>
        <w:t>Section</w:t>
      </w:r>
      <w:r>
        <w:rPr>
          <w:rFonts w:ascii="Times New Roman" w:hAnsi="Times New Roman"/>
          <w:sz w:val="20"/>
        </w:rPr>
        <w:t> </w:t>
      </w:r>
      <w:r>
        <w:rPr>
          <w:rFonts w:ascii="Times New Roman" w:hAnsi="Times New Roman"/>
          <w:b/>
          <w:sz w:val="20"/>
        </w:rPr>
        <w:t>4(b)</w:t>
      </w:r>
      <w:r>
        <w:rPr>
          <w:rFonts w:ascii="Times New Roman" w:hAnsi="Times New Roman"/>
          <w:sz w:val="20"/>
        </w:rPr>
        <w:t xml:space="preserve"> above), (i) prior to the Exercise Date, the Holder shall not be entitled to receive dividends, nor shall anything contained in this Warrant Certificate be construed to confer upon the Holder, as such, any of the rights of a shareholder of the Company or any right to receive dividends or subscription rights, and (ii) prior to due exercise of this Warrant Certificate, the Holder shall not be entitled to vote, nor shall anything contained in this Warrant Certificate be construed to confer upon the Holder, as such, any right to vote, give or withhold consent to any corporate action (whether any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 of shares, redesignation of shares, sub-division, consolidation, merger, conveyance or otherwise) or receive notice of meetings. In addition, nothing contained in this Warrant Certificate shall be construed as imposing any liabilities on the Holder to purchase any securities (upon exercise of this Warrant Certificate or otherwise) or as a shareholder of the Company, whether such liabilities are asserted by the Company or by creditors of the Company. Notwithstanding this </w:t>
      </w:r>
      <w:r>
        <w:rPr>
          <w:rFonts w:ascii="Times New Roman" w:hAnsi="Times New Roman"/>
          <w:b/>
          <w:sz w:val="20"/>
        </w:rPr>
        <w:t>Section</w:t>
      </w:r>
      <w:r>
        <w:rPr>
          <w:rFonts w:ascii="Times New Roman" w:hAnsi="Times New Roman"/>
          <w:sz w:val="20"/>
        </w:rPr>
        <w:t> </w:t>
      </w:r>
      <w:r>
        <w:rPr>
          <w:rFonts w:ascii="Times New Roman" w:hAnsi="Times New Roman"/>
          <w:b/>
          <w:sz w:val="20"/>
        </w:rPr>
        <w:t>7</w:t>
      </w:r>
      <w:r>
        <w:rPr>
          <w:rFonts w:ascii="Times New Roman" w:hAnsi="Times New Roman"/>
          <w:sz w:val="20"/>
        </w:rPr>
        <w:t xml:space="preserve">, the Company shall provide the Holder with copies of the same notices and other information given to all shareholders of the Company generally, contemporaneously with the giving thereof to such shareholders.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w:t>
      </w:r>
      <w:r>
        <w:rPr>
          <w:rFonts w:ascii="Times New Roman" w:hAnsi="Times New Roman"/>
          <w:sz w:val="20"/>
        </w:rPr>
        <w:t xml:space="preserve"> </w:t>
      </w:r>
      <w:r>
        <w:rPr>
          <w:rFonts w:ascii="Times New Roman" w:hAnsi="Times New Roman"/>
          <w:b/>
          <w:sz w:val="20"/>
        </w:rPr>
        <w:t>Replacement on Loss; Division and Combination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Replacement of Warrant Certificate</w:t>
      </w:r>
      <w:r>
        <w:rPr>
          <w:rFonts w:ascii="Times New Roman" w:hAnsi="Times New Roman"/>
          <w:sz w:val="20"/>
        </w:rPr>
        <w:t xml:space="preserve"> </w:t>
      </w:r>
      <w:r>
        <w:rPr>
          <w:rFonts w:ascii="Times New Roman" w:hAnsi="Times New Roman"/>
          <w:b/>
          <w:sz w:val="20"/>
        </w:rPr>
        <w:t>on Loss</w:t>
      </w:r>
      <w:r>
        <w:rPr>
          <w:rFonts w:ascii="Times New Roman" w:hAnsi="Times New Roman"/>
          <w:sz w:val="20"/>
        </w:rPr>
        <w:t xml:space="preserve">. Subject to any further requirements in relation to the cancellation of this Warrant Certificate pursuant to applicable Law,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in customary form,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ADSs as this Warrant Certificate so lost, stolen, mutilated or destroyed; </w:t>
      </w:r>
      <w:r>
        <w:rPr>
          <w:rFonts w:ascii="Times New Roman" w:hAnsi="Times New Roman"/>
          <w:sz w:val="20"/>
          <w:u w:val="single"/>
        </w:rPr>
        <w:t>provided</w:t>
      </w:r>
      <w:r>
        <w:rPr>
          <w:rFonts w:ascii="Times New Roman" w:hAnsi="Times New Roman"/>
          <w:sz w:val="20"/>
        </w:rPr>
        <w:t xml:space="preserve"> that, in the case of mutilation, no indemnity shall be required if this Warrant Certificate in identifiable form is surrendered to the Company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Division and Combination of Warrant Certificate</w:t>
      </w:r>
      <w:r>
        <w:rPr>
          <w:rFonts w:ascii="Times New Roman" w:hAnsi="Times New Roman"/>
          <w:sz w:val="20"/>
        </w:rPr>
        <w:t xml:space="preserve">.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registered office, together with a written notice specifying the names and denominations in which new Warrant Certificates are to be issued, signed by each applicable Holder or its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ADSs as this Warrant Certificate or Warrant Certificates so surrendered in accordance with such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w:t>
      </w:r>
      <w:r>
        <w:rPr>
          <w:rFonts w:ascii="Times New Roman" w:hAnsi="Times New Roman"/>
          <w:b/>
          <w:sz w:val="20"/>
        </w:rPr>
        <w:t>Disputes; No Impairment, etc</w:t>
      </w:r>
      <w:r>
        <w:rPr>
          <w:rFonts w:ascii="Times New Roman" w:hAnsi="Times New Roman"/>
          <w:sz w:val="20"/>
        </w:rPr>
        <w:t xml:space="preserve">.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Disputes</w:t>
      </w:r>
      <w:r>
        <w:rPr>
          <w:rFonts w:ascii="Times New Roman" w:hAnsi="Times New Roman"/>
          <w:sz w:val="20"/>
        </w:rPr>
        <w:t xml:space="preserve">. In the event of any dispute which arises between the Holder and the Company (including the Directors of the Company) with respect to the calculation or determination of Fair Market Value, the adjusted Exercise Price, the number of Warrant ADSs, other Equity Interests, cash or other property issuable upon exercise of this Warrant Certificate, the amount or type of consideration due to the Holder in connection with any event,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matter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 </w:t>
      </w:r>
      <w:r>
        <w:rPr>
          <w:rFonts w:ascii="Times New Roman" w:hAnsi="Times New Roman"/>
          <w:sz w:val="20"/>
        </w:rPr>
        <w:t>above or any other matter involving this Warrant Certificate or the Warrant Shares that is not resolved by the parties after good faith discussions and efforts to reach resolution, upon the request of the Holder, the disputed issue(s) shall be submitted to a firm of independent investment bankers or public accountants of recognized national standing, which (i) shall be chosen by the Company and be reasonably satisfactory to the Holder and (ii) shall be completely independent of the Company (an “</w:t>
      </w:r>
      <w:r>
        <w:rPr>
          <w:rFonts w:ascii="Times New Roman" w:hAnsi="Times New Roman"/>
          <w:b/>
          <w:i/>
          <w:sz w:val="20"/>
        </w:rPr>
        <w:t>Independent Advisor</w:t>
      </w:r>
      <w:r>
        <w:rPr>
          <w:rFonts w:ascii="Times New Roman" w:hAnsi="Times New Roman"/>
          <w:sz w:val="20"/>
        </w:rPr>
        <w:t xml:space="preserve">”), for determination, and such determination by the Independent Advisor shall be binding upon the Company and the Holder with respect to this Warrant Certificate, any Warrant Shares issued or issuable in connection herewith, the Exercise Price therefor, or any other matter in dispute, as the case may be, absent manifest error. Costs and expenses of the Independent Advisor shall be shared 50/50 by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Equitable Equivalent</w:t>
      </w:r>
      <w:r>
        <w:rPr>
          <w:rFonts w:ascii="Times New Roman" w:hAnsi="Times New Roman"/>
          <w:sz w:val="20"/>
        </w:rPr>
        <w:t xml:space="preserve">. In case any event shall occur as to which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9(a)</w:t>
      </w:r>
      <w:r>
        <w:rPr>
          <w:rFonts w:ascii="Times New Roman" w:hAnsi="Times New Roman"/>
          <w:sz w:val="20"/>
        </w:rPr>
        <w:t xml:space="preserve"> above are not strictly applicable but the failure to make any adjustment would not, in the reasonable, good faith opinion of the Holder, fairly protect the rights and benefits of the Holder represented by this Warrant Certificate in accordance with the essential intent and principles of </w:t>
      </w:r>
      <w:r>
        <w:rPr>
          <w:rFonts w:ascii="Times New Roman" w:hAnsi="Times New Roman"/>
          <w:b/>
          <w:sz w:val="20"/>
        </w:rPr>
        <w:t>Sections</w:t>
      </w:r>
      <w:r>
        <w:rPr>
          <w:rFonts w:ascii="Times New Roman" w:hAnsi="Times New Roman"/>
          <w:sz w:val="20"/>
        </w:rPr>
        <w:t> </w:t>
      </w:r>
      <w:r>
        <w:rPr>
          <w:rFonts w:ascii="Times New Roman" w:hAnsi="Times New Roman"/>
          <w:b/>
          <w:sz w:val="20"/>
        </w:rPr>
        <w:t>4</w:t>
      </w:r>
      <w:r>
        <w:rPr>
          <w:rFonts w:ascii="Times New Roman" w:hAnsi="Times New Roman"/>
          <w:sz w:val="20"/>
        </w:rPr>
        <w:t xml:space="preserve"> and </w:t>
      </w:r>
      <w:r>
        <w:rPr>
          <w:rFonts w:ascii="Times New Roman" w:hAnsi="Times New Roman"/>
          <w:b/>
          <w:sz w:val="20"/>
        </w:rPr>
        <w:t>9(a)</w:t>
      </w:r>
      <w:r>
        <w:rPr>
          <w:rFonts w:ascii="Times New Roman" w:hAnsi="Times New Roman"/>
          <w:sz w:val="20"/>
        </w:rPr>
        <w:t xml:space="preserve">, then, in any such case, at the request of the Holder, the Company shall submit the matter and issues raised by the Holder to an Independent Advisor, which shall give its opinion upon the adjustment, if any, on a basis consistent with the essential intent and principles established in </w:t>
      </w:r>
      <w:r>
        <w:rPr>
          <w:rFonts w:ascii="Times New Roman" w:hAnsi="Times New Roman"/>
          <w:b/>
          <w:sz w:val="20"/>
        </w:rPr>
        <w:t>Sections</w:t>
      </w:r>
      <w:r>
        <w:rPr>
          <w:rFonts w:ascii="Times New Roman" w:hAnsi="Times New Roman"/>
          <w:sz w:val="20"/>
        </w:rPr>
        <w:t> </w:t>
      </w:r>
      <w:r>
        <w:rPr>
          <w:rFonts w:ascii="Times New Roman" w:hAnsi="Times New Roman"/>
          <w:b/>
          <w:sz w:val="20"/>
        </w:rPr>
        <w:t>4</w:t>
      </w:r>
      <w:r>
        <w:rPr>
          <w:rFonts w:ascii="Times New Roman" w:hAnsi="Times New Roman"/>
          <w:sz w:val="20"/>
        </w:rPr>
        <w:t xml:space="preserve"> and </w:t>
      </w:r>
      <w:r>
        <w:rPr>
          <w:rFonts w:ascii="Times New Roman" w:hAnsi="Times New Roman"/>
          <w:b/>
          <w:sz w:val="20"/>
        </w:rPr>
        <w:t>9(a)</w:t>
      </w:r>
      <w:r>
        <w:rPr>
          <w:rFonts w:ascii="Times New Roman" w:hAnsi="Times New Roman"/>
          <w:sz w:val="20"/>
        </w:rPr>
        <w:t xml:space="preserve">, to the extent necessary to preserve, without dilution, the rights and benefits represented by this Warrant Certificate. Upon receipt of such opinion, the Company will promptly mail a copy thereof to the Holder and shall make the adjustments described therein, if any. Costs and expenses of the Independent Advisor shall be shared 50/50 by the Company and the 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Avoidance</w:t>
      </w:r>
      <w:r>
        <w:rPr>
          <w:rFonts w:ascii="Times New Roman" w:hAnsi="Times New Roman"/>
          <w:sz w:val="20"/>
        </w:rPr>
        <w:t xml:space="preserve">. The Company shall not, by way of amendment of any of its Articles or through any consolidation, merger, reorganization, transfer of assets, dissolution, issue or sale of securities or any other voluntary action or transaction, avoid or seek to avoid the observance, performance or intended results of any of the terms of this Warrant Certificate, but will at all times in good faith assist in the carrying out of all such terms and in the taking of all such action as may be necessary or appropriate in order to protect the rights of the Holder against dilution or other impairment as if the Holder was a shareholder of the Company entitled to the benefits afforded to shareholders under English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Compliance with the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Agreement to Comply with the Securities Act,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Legend</w:t>
      </w:r>
      <w:r>
        <w:rPr>
          <w:rFonts w:ascii="Times New Roman" w:hAnsi="Times New Roman"/>
          <w:sz w:val="20"/>
        </w:rPr>
        <w:t xml:space="preserve">. The Holder, by acceptance of this Warrant Certificate, agrees to comply in all respects with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and the restrictive legend requirements set forth on the face of this Warrant Certificate and further agrees that it shall not offer, sell or otherwise dispose of this Warrant Certificate or any Warrant ADSs or Warrant Shares to be issued upon exercise hereof except under circumstances that will not result in a violation of the Securities Act. Subject to </w:t>
      </w:r>
      <w:r>
        <w:rPr>
          <w:rFonts w:ascii="Times New Roman" w:hAnsi="Times New Roman"/>
          <w:b/>
          <w:sz w:val="20"/>
        </w:rPr>
        <w:t>clause</w:t>
      </w:r>
      <w:r>
        <w:rPr>
          <w:rFonts w:ascii="Times New Roman" w:hAnsi="Times New Roman"/>
          <w:sz w:val="20"/>
        </w:rPr>
        <w:t> </w:t>
      </w:r>
      <w:r>
        <w:rPr>
          <w:rFonts w:ascii="Times New Roman" w:hAnsi="Times New Roman"/>
          <w:b/>
          <w:sz w:val="20"/>
        </w:rPr>
        <w:t>(ii)</w:t>
      </w:r>
      <w:r>
        <w:rPr>
          <w:rFonts w:ascii="Times New Roman" w:hAnsi="Times New Roman"/>
          <w:sz w:val="20"/>
        </w:rPr>
        <w:t xml:space="preserve"> below, this Warrant Certificate and all Warrant ADSs and Warrant Shares issued upon exercise of this Warrant Certificate (unless registered under the Securities Act) shall be stamped or imprinted with a legend in substantially the form as set forth on the face hereof (or, in the case of Warrant ADSs, such legend shall be noted on the books and records of the Depositary or otherwise as required by the Depositary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Removal of Restrictive Legends</w:t>
      </w:r>
      <w:r>
        <w:rPr>
          <w:rFonts w:ascii="Times New Roman" w:hAnsi="Times New Roman"/>
          <w:sz w:val="20"/>
        </w:rPr>
        <w:t xml:space="preserve">. Neither this Warrant Certificate nor any certificates or other instruments evidencing Warrant ADSs or Warrant Shares issuable or deliverable under or in connection with this Warrant Certificate shall contain any legend restricting the transfer of such Warrant Certificate, Warrant ADSs or Warrant Shares as applicable (including the legend required above in </w:t>
      </w:r>
      <w:r>
        <w:rPr>
          <w:rFonts w:ascii="Times New Roman" w:hAnsi="Times New Roman"/>
          <w:b/>
          <w:sz w:val="20"/>
        </w:rPr>
        <w:t>clause</w:t>
      </w:r>
      <w:r>
        <w:rPr>
          <w:rFonts w:ascii="Times New Roman" w:hAnsi="Times New Roman"/>
          <w:sz w:val="20"/>
        </w:rPr>
        <w:t> </w:t>
      </w:r>
      <w:r>
        <w:rPr>
          <w:rFonts w:ascii="Times New Roman" w:hAnsi="Times New Roman"/>
          <w:b/>
          <w:sz w:val="20"/>
        </w:rPr>
        <w:t>(i)</w:t>
      </w:r>
      <w:r>
        <w:rPr>
          <w:rFonts w:ascii="Times New Roman" w:hAnsi="Times New Roman"/>
          <w:sz w:val="20"/>
        </w:rPr>
        <w:t>) in any of the following circumstances: (A) following any sale to a non-Affiliate of the Company of this Warrant Certificate or any Warrant ADSs or Warrant Shares issued or delivered to the Holder under or in connection herewith pursuant to Rule 144 or (B) if, in the opinion of counsel to the Company, such legend is not required under applicable requirements of the Securities Act (including judicial interpretations and pronouncements issued by the staff of the SEC), including clause (b)(1) of Rule 144 (collectively, the “</w:t>
      </w:r>
      <w:r>
        <w:rPr>
          <w:rFonts w:ascii="Times New Roman" w:hAnsi="Times New Roman"/>
          <w:b/>
          <w:i/>
          <w:sz w:val="20"/>
        </w:rPr>
        <w:t>Unrestricted Conditions</w:t>
      </w:r>
      <w:r>
        <w:rPr>
          <w:rFonts w:ascii="Times New Roman" w:hAnsi="Times New Roman"/>
          <w:sz w:val="20"/>
        </w:rPr>
        <w:t xml:space="preserve">”). If the Unrestricted Conditions are met at the time of issuance of this Warrant Certificate, Warrant ADSs or Warrant Shares, as the case may be, this Warrant Certificate, Warrant ADSs or Warrant Shares, as the case may be, shall be issued free of all legends. The Company shall cause the Depositary to remove or not impose any restrictive legends on the Warrant ADSs when the Unrestricted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Replacement Warrant Certificate</w:t>
      </w:r>
      <w:r>
        <w:rPr>
          <w:rFonts w:ascii="Times New Roman" w:hAnsi="Times New Roman"/>
          <w:sz w:val="20"/>
        </w:rPr>
        <w:t xml:space="preserve">. The Company agrees that at such time as the Unrestricted Conditions have been satisfied it shall promptly (but in any event within five (5) Business Days) following written request from the Holder issue a replacement Warrant Certificate or replacement Warrant ADSs or Warrant Shares, as the case may be, free of all restrictive legends. In the case of Warrant ADSs, the Company shall use reasonable commercial efforts to cause the Depositary to deliver such Warrant ADSs free of restrictive legends.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Sale of Unlegended Shares</w:t>
      </w:r>
      <w:r>
        <w:rPr>
          <w:rFonts w:ascii="Times New Roman" w:hAnsi="Times New Roman"/>
          <w:sz w:val="20"/>
        </w:rPr>
        <w:t xml:space="preserve">. The Holder agrees that the removal of the restrictive legend from this Warrant Certificate and any certificates or other instruments representing Warrant ADSs or other securities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10(a)(ii)</w:t>
      </w:r>
      <w:r>
        <w:rPr>
          <w:rFonts w:ascii="Times New Roman" w:hAnsi="Times New Roman"/>
          <w:sz w:val="20"/>
        </w:rPr>
        <w:t xml:space="preserve"> above is predicated upon the Company’s receipt of a certification from such Holder confirming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 and any other matters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Representations of the Holder</w:t>
      </w:r>
      <w:r>
        <w:rPr>
          <w:rFonts w:ascii="Times New Roman" w:hAnsi="Times New Roman"/>
          <w:sz w:val="20"/>
        </w:rPr>
        <w:t xml:space="preserve">. In connection with the issuance of this Warrant Certificate, the Holder represents, as of the Issue Date and as of each Exercise Date, to the Company by acceptance of this Warrant Certificate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The Holder is an “accredited investor” as defined in Rule 501 of Regulation D promulgated under the Securities Act and (ii) a “qualified institutional buyer” (as that term is defined in Rule 144A of the Securities Act). The Holder is acquiring this Warrant Certificate and the Warrant ADSs and Warrant Shares to be issued upon exercise hereof for investment for its own account and not with a view towards, or for resale in connection with, the public sale or distribution of this Warrant Certificate or the Warrant ADSs or Warrant Shares, except pursuant to sales registered or exempted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Holder understands and acknowledges that this Warrant Certificate and the Warrant ADSs and Warrant Shares to be issued upon exercise hereof are “restricted securities” under the Securities Act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as presently in effect, and understands the resale limitations imposed thereby and by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(iii) 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ADSs and Warrant Shares. The Holder has had an opportunity to ask questions and receive answers from the Company regarding the terms and conditions of the offering of this Warrant Certificate and the business, properties, prospects and financial condition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11. Information And Co-Operation in Event of any Filings </w:t>
      </w:r>
    </w:p>
    <w:p>
      <w:pPr>
        <w:pStyle w:val="TextBody"/>
        <w:bidi w:val="0"/>
        <w:spacing w:before="120" w:after="0"/>
        <w:jc w:val="left"/>
        <w:rPr>
          <w:rFonts w:ascii="Times New Roman" w:hAnsi="Times New Roman"/>
          <w:sz w:val="20"/>
        </w:rPr>
      </w:pPr>
      <w:r>
        <w:rPr>
          <w:rFonts w:ascii="Times New Roman" w:hAnsi="Times New Roman"/>
          <w:sz w:val="20"/>
        </w:rPr>
        <w:t xml:space="preserve">(a) Should it be necessary or, in the Holder’s view, reasonably advisable for the Holder to obtain clearance for the exercise of the Warrant Certificate from any regulatory or governmental authority, the Company shall, and shall procure that any Group Company shall, if requested by the Holder in writing, co-operate with the Holder in enabling the Holder to obtain such clearance, or cause any applicable waiting periods to commence and expire as soon as reasonably practicable following such request, including providing such assistance and information as may be reasonably requested by the Holder as soon as reasonably practicable following any such request, before and after the exercise of the Warrant Certificate; provided, however, that, subject to the Company’s obligations in Section 2.2 of the Registration Rights Agreement, any costs of the Holder or the Company including legal, clearance, filing, stamp duty reserve tax, or stamp duty costs or fees that result or are incurred in connection with fulfilling the objectives of this clause shall be borne by the Holder. </w:t>
      </w:r>
    </w:p>
    <w:p>
      <w:pPr>
        <w:pStyle w:val="TextBody"/>
        <w:bidi w:val="0"/>
        <w:spacing w:before="240" w:after="0"/>
        <w:jc w:val="left"/>
        <w:rPr>
          <w:rFonts w:ascii="Times New Roman" w:hAnsi="Times New Roman"/>
          <w:sz w:val="20"/>
        </w:rPr>
      </w:pPr>
      <w:r>
        <w:rPr>
          <w:rFonts w:ascii="Times New Roman" w:hAnsi="Times New Roman"/>
          <w:sz w:val="20"/>
        </w:rPr>
        <w:t xml:space="preserve">(b) Without prejudice to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11(a)</w:t>
      </w:r>
      <w:r>
        <w:rPr>
          <w:rFonts w:ascii="Times New Roman" w:hAnsi="Times New Roman"/>
          <w:sz w:val="20"/>
        </w:rPr>
        <w:t xml:space="preserve">, in fulfilling the objectives of this clause, the Company shall, and shall procure that any Group Company shall: </w:t>
      </w:r>
    </w:p>
    <w:p>
      <w:pPr>
        <w:pStyle w:val="TextBody"/>
        <w:bidi w:val="0"/>
        <w:spacing w:before="240" w:after="0"/>
        <w:jc w:val="left"/>
        <w:rPr>
          <w:rFonts w:ascii="Times New Roman" w:hAnsi="Times New Roman"/>
          <w:sz w:val="20"/>
        </w:rPr>
      </w:pPr>
      <w:r>
        <w:rPr>
          <w:rFonts w:ascii="Times New Roman" w:hAnsi="Times New Roman"/>
          <w:sz w:val="20"/>
        </w:rPr>
        <w:t xml:space="preserve">(i) provide any reasonably requested information, including any underlying documents, to the Holder, as soon as reasonably practicable following a request to enable the Holder to prepare any submissions to the relevant authority or respond to the relevant authority’s requests; and </w:t>
      </w:r>
    </w:p>
    <w:p>
      <w:pPr>
        <w:pStyle w:val="TextBody"/>
        <w:bidi w:val="0"/>
        <w:spacing w:before="240" w:after="0"/>
        <w:jc w:val="left"/>
        <w:rPr>
          <w:rFonts w:ascii="Times New Roman" w:hAnsi="Times New Roman"/>
          <w:sz w:val="20"/>
        </w:rPr>
      </w:pPr>
      <w:r>
        <w:rPr>
          <w:rFonts w:ascii="Times New Roman" w:hAnsi="Times New Roman"/>
          <w:sz w:val="20"/>
        </w:rPr>
        <w:t xml:space="preserve">(ii) make available, at the Holder’s reasonable request and with reasonable notice, relevant personnel for calls and remote meetings with the relevant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e-mail of a PDF document (with confirmation of transmission) if sent during normal business hours of the recipient, and on the next Business Day if sent after normal business hours of the recipient; or (iv)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29"/>
        <w:gridCol w:w="8676"/>
      </w:tblGrid>
      <w:tr>
        <w:trPr/>
        <w:tc>
          <w:tcPr>
            <w:tcW w:w="1529" w:type="dxa"/>
            <w:tcBorders/>
          </w:tcPr>
          <w:p>
            <w:pPr>
              <w:pStyle w:val="TableContents"/>
              <w:bidi w:val="0"/>
              <w:spacing w:before="0" w:after="283"/>
              <w:jc w:val="left"/>
              <w:rPr/>
            </w:pPr>
            <w:r>
              <w:rPr/>
              <w:t>If to the Company:</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AUTOLUS THERAPEUTICS PLC </w:t>
            </w:r>
          </w:p>
        </w:tc>
      </w:tr>
    </w:tbl>
    <w:p>
      <w:pPr>
        <w:pStyle w:val="TextBody"/>
        <w:bidi w:val="0"/>
        <w:spacing w:before="0" w:after="0"/>
        <w:jc w:val="left"/>
        <w:rPr>
          <w:rFonts w:ascii="Times New Roman" w:hAnsi="Times New Roman"/>
          <w:sz w:val="20"/>
        </w:rPr>
      </w:pPr>
      <w:r>
        <w:rPr>
          <w:rFonts w:ascii="Times New Roman" w:hAnsi="Times New Roman"/>
          <w:sz w:val="20"/>
        </w:rPr>
        <w:t xml:space="preserve">The Media Works </w:t>
      </w:r>
    </w:p>
    <w:p>
      <w:pPr>
        <w:pStyle w:val="TextBody"/>
        <w:bidi w:val="0"/>
        <w:spacing w:before="0" w:after="0"/>
        <w:jc w:val="left"/>
        <w:rPr>
          <w:rFonts w:ascii="Times New Roman" w:hAnsi="Times New Roman"/>
          <w:sz w:val="20"/>
        </w:rPr>
      </w:pPr>
      <w:r>
        <w:rPr>
          <w:rFonts w:ascii="Times New Roman" w:hAnsi="Times New Roman"/>
          <w:sz w:val="20"/>
        </w:rPr>
        <w:t xml:space="preserve">191 Wood LaneLondon W12 7FP 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Alex Driggs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qualify as notice to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Reston Town Center </w:t>
      </w:r>
    </w:p>
    <w:p>
      <w:pPr>
        <w:pStyle w:val="TextBody"/>
        <w:bidi w:val="0"/>
        <w:spacing w:before="0" w:after="0"/>
        <w:jc w:val="left"/>
        <w:rPr>
          <w:rFonts w:ascii="Times New Roman" w:hAnsi="Times New Roman"/>
          <w:sz w:val="20"/>
        </w:rPr>
      </w:pPr>
      <w:r>
        <w:rPr>
          <w:rFonts w:ascii="Times New Roman" w:hAnsi="Times New Roman"/>
          <w:sz w:val="20"/>
        </w:rPr>
        <w:t xml:space="preserve">11951 Freedom Drive </w:t>
      </w:r>
    </w:p>
    <w:p>
      <w:pPr>
        <w:pStyle w:val="TextBody"/>
        <w:bidi w:val="0"/>
        <w:spacing w:before="0" w:after="0"/>
        <w:jc w:val="left"/>
        <w:rPr>
          <w:rFonts w:ascii="Times New Roman" w:hAnsi="Times New Roman"/>
          <w:sz w:val="20"/>
        </w:rPr>
      </w:pPr>
      <w:r>
        <w:rPr>
          <w:rFonts w:ascii="Times New Roman" w:hAnsi="Times New Roman"/>
          <w:sz w:val="20"/>
        </w:rPr>
        <w:t xml:space="preserve">14th Floor </w:t>
      </w:r>
    </w:p>
    <w:p>
      <w:pPr>
        <w:pStyle w:val="TextBody"/>
        <w:bidi w:val="0"/>
        <w:spacing w:before="0" w:after="0"/>
        <w:jc w:val="left"/>
        <w:rPr>
          <w:rFonts w:ascii="Times New Roman" w:hAnsi="Times New Roman"/>
          <w:sz w:val="20"/>
        </w:rPr>
      </w:pPr>
      <w:r>
        <w:rPr>
          <w:rFonts w:ascii="Times New Roman" w:hAnsi="Times New Roman"/>
          <w:sz w:val="20"/>
        </w:rPr>
        <w:t xml:space="preserve">Reston, Virginia 20190-5640 </w:t>
      </w:r>
    </w:p>
    <w:p>
      <w:pPr>
        <w:pStyle w:val="TextBody"/>
        <w:bidi w:val="0"/>
        <w:spacing w:before="0" w:after="0"/>
        <w:jc w:val="left"/>
        <w:rPr>
          <w:rFonts w:ascii="Times New Roman" w:hAnsi="Times New Roman"/>
          <w:sz w:val="20"/>
        </w:rPr>
      </w:pPr>
      <w:r>
        <w:rPr>
          <w:rFonts w:ascii="Times New Roman" w:hAnsi="Times New Roman"/>
          <w:sz w:val="20"/>
        </w:rPr>
        <w:t xml:space="preserve">Attention: Christian Plaza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Cooley (UK) LLP </w:t>
      </w:r>
    </w:p>
    <w:p>
      <w:pPr>
        <w:pStyle w:val="TextBody"/>
        <w:bidi w:val="0"/>
        <w:spacing w:before="0" w:after="0"/>
        <w:jc w:val="left"/>
        <w:rPr>
          <w:rFonts w:ascii="Times New Roman" w:hAnsi="Times New Roman"/>
          <w:sz w:val="20"/>
        </w:rPr>
      </w:pPr>
      <w:r>
        <w:rPr>
          <w:rFonts w:ascii="Times New Roman" w:hAnsi="Times New Roman"/>
          <w:sz w:val="20"/>
        </w:rPr>
        <w:t xml:space="preserve">22 Bishopsgate </w:t>
      </w:r>
    </w:p>
    <w:p>
      <w:pPr>
        <w:pStyle w:val="TextBody"/>
        <w:bidi w:val="0"/>
        <w:spacing w:before="0" w:after="0"/>
        <w:jc w:val="left"/>
        <w:rPr>
          <w:rFonts w:ascii="Times New Roman" w:hAnsi="Times New Roman"/>
          <w:sz w:val="20"/>
        </w:rPr>
      </w:pPr>
      <w:r>
        <w:rPr>
          <w:rFonts w:ascii="Times New Roman" w:hAnsi="Times New Roman"/>
          <w:sz w:val="20"/>
        </w:rPr>
        <w:t xml:space="preserve">London EC2N 4BQ 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Claire Keast-Butler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529"/>
        <w:gridCol w:w="8676"/>
      </w:tblGrid>
      <w:tr>
        <w:trPr/>
        <w:tc>
          <w:tcPr>
            <w:tcW w:w="1529" w:type="dxa"/>
            <w:tcBorders/>
          </w:tcPr>
          <w:p>
            <w:pPr>
              <w:pStyle w:val="TableContents"/>
              <w:bidi w:val="0"/>
              <w:spacing w:before="0" w:after="283"/>
              <w:jc w:val="left"/>
              <w:rPr/>
            </w:pPr>
            <w:r>
              <w:rPr/>
              <w:t>If to the Holder:</w:t>
            </w:r>
          </w:p>
        </w:tc>
        <w:tc>
          <w:tcPr>
            <w:tcW w:w="8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PERCEPTIVE CREDIT HOLDINGS V, LP </w:t>
            </w:r>
          </w:p>
        </w:tc>
      </w:tr>
    </w:tbl>
    <w:p>
      <w:pPr>
        <w:pStyle w:val="TextBody"/>
        <w:bidi w:val="0"/>
        <w:spacing w:before="0" w:after="0"/>
        <w:jc w:val="left"/>
        <w:rPr>
          <w:rFonts w:ascii="Times New Roman" w:hAnsi="Times New Roman"/>
          <w:sz w:val="20"/>
        </w:rPr>
      </w:pPr>
      <w:r>
        <w:rPr>
          <w:rFonts w:ascii="Times New Roman" w:hAnsi="Times New Roman"/>
          <w:sz w:val="20"/>
        </w:rPr>
        <w:t xml:space="preserve">c/o Perceptive Advisors LLC </w:t>
      </w:r>
    </w:p>
    <w:p>
      <w:pPr>
        <w:pStyle w:val="TextBody"/>
        <w:bidi w:val="0"/>
        <w:spacing w:before="0" w:after="0"/>
        <w:jc w:val="left"/>
        <w:rPr>
          <w:rFonts w:ascii="Times New Roman" w:hAnsi="Times New Roman"/>
          <w:sz w:val="20"/>
        </w:rPr>
      </w:pPr>
      <w:r>
        <w:rPr>
          <w:rFonts w:ascii="Times New Roman" w:hAnsi="Times New Roman"/>
          <w:sz w:val="20"/>
        </w:rPr>
        <w:t xml:space="preserve">51 Astor Place, 10th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10003 </w:t>
      </w:r>
    </w:p>
    <w:p>
      <w:pPr>
        <w:pStyle w:val="TextBody"/>
        <w:bidi w:val="0"/>
        <w:spacing w:before="0" w:after="0"/>
        <w:jc w:val="left"/>
        <w:rPr>
          <w:rFonts w:ascii="Times New Roman" w:hAnsi="Times New Roman"/>
          <w:sz w:val="20"/>
        </w:rPr>
      </w:pPr>
      <w:r>
        <w:rPr>
          <w:rFonts w:ascii="Times New Roman" w:hAnsi="Times New Roman"/>
          <w:sz w:val="20"/>
        </w:rPr>
        <w:t xml:space="preserve">Attn: Sandeep Dixit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qualify as notice to any party hereto):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505 Montgomery Street, Suite 2000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94111-6538 </w:t>
      </w:r>
    </w:p>
    <w:p>
      <w:pPr>
        <w:pStyle w:val="TextBody"/>
        <w:bidi w:val="0"/>
        <w:spacing w:before="0" w:after="0"/>
        <w:jc w:val="left"/>
        <w:rPr>
          <w:rFonts w:ascii="Times New Roman" w:hAnsi="Times New Roman"/>
          <w:sz w:val="20"/>
        </w:rPr>
      </w:pPr>
      <w:r>
        <w:rPr>
          <w:rFonts w:ascii="Times New Roman" w:hAnsi="Times New Roman"/>
          <w:sz w:val="20"/>
        </w:rPr>
        <w:t xml:space="preserve">Attention: Haim Zaltzman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b/>
          <w:sz w:val="20"/>
        </w:rPr>
        <w:t>Cumulative Remedies</w:t>
      </w:r>
      <w:r>
        <w:rPr>
          <w:rFonts w:ascii="Times New Roman" w:hAnsi="Times New Roman"/>
          <w:sz w:val="20"/>
        </w:rPr>
        <w:t xml:space="preserve">. The rights and remedies provided in this Warrant Certificate are cumulative and are not exclusive of, and are in addition to and not in substitution for, any other rights or remedies available at Law, in equity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Warrant Certificate constitutes the sole and entire agreement of the parties to this Warrant Certificate with respect to the subject matter contained herein and supersedes all prior and contemporaneous understandings and agreements, both written and oral, with respect to such subject matter.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b/>
          <w:sz w:val="20"/>
        </w:rPr>
        <w:t>Successor and Assigns</w:t>
      </w:r>
      <w:r>
        <w:rPr>
          <w:rFonts w:ascii="Times New Roman" w:hAnsi="Times New Roman"/>
          <w:sz w:val="20"/>
        </w:rPr>
        <w:t xml:space="preserve">. This Warrant Certificate and the rights evidenced hereby shall be binding upon and shall inure to the benefit of the parties hereto and the successors of the Company and the successors and permitted assigns of the Holder. Such successor or permitted assign of the Holder shall be deemed to be the “Holder” for all purposes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b/>
          <w:sz w:val="20"/>
        </w:rPr>
        <w:t>No Third-Party Beneficiaries</w:t>
      </w:r>
      <w:r>
        <w:rPr>
          <w:rFonts w:ascii="Times New Roman" w:hAnsi="Times New Roman"/>
          <w:sz w:val="20"/>
        </w:rPr>
        <w:t xml:space="preserve">. This Warrant Certificate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w:t>
      </w:r>
      <w:r>
        <w:rPr>
          <w:rFonts w:ascii="Times New Roman" w:hAnsi="Times New Roman"/>
          <w:sz w:val="20"/>
        </w:rPr>
        <w:t xml:space="preserve"> </w:t>
      </w:r>
      <w:r>
        <w:rPr>
          <w:rFonts w:ascii="Times New Roman" w:hAnsi="Times New Roman"/>
          <w:b/>
          <w:sz w:val="20"/>
        </w:rPr>
        <w:t>Headings</w:t>
      </w:r>
      <w:r>
        <w:rPr>
          <w:rFonts w:ascii="Times New Roman" w:hAnsi="Times New Roman"/>
          <w:sz w:val="20"/>
        </w:rPr>
        <w:t xml:space="preserve">. The headings in this Warrant Certificate are for reference only and shall not affect the interpretation of this Warrant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w:t>
      </w:r>
      <w:r>
        <w:rPr>
          <w:rFonts w:ascii="Times New Roman" w:hAnsi="Times New Roman"/>
          <w:sz w:val="20"/>
        </w:rPr>
        <w:t xml:space="preserve"> </w:t>
      </w:r>
      <w:r>
        <w:rPr>
          <w:rFonts w:ascii="Times New Roman" w:hAnsi="Times New Roman"/>
          <w:b/>
          <w:sz w:val="20"/>
        </w:rPr>
        <w:t>Amendment and Modification; Waiver</w:t>
      </w:r>
      <w:r>
        <w:rPr>
          <w:rFonts w:ascii="Times New Roman" w:hAnsi="Times New Roman"/>
          <w:sz w:val="20"/>
        </w:rPr>
        <w:t xml:space="preserve">. Except as otherwise provided herein, this Warrant Certificate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term or provision of this Warrant Certificate is invalid, illegal or unenforceable in any jurisdiction, such invalidity, illegality or unenforceability shall not affect any other term or provision of this Warrant Certificate or invalidate or render unenforceable such term or provision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Warrant Certificate shall be governed by and construed in accordance with the internal Laws of the State of New York without effect to any choice or conflict of Law provision or rule (whether of the State of New York or any other jurisdiction) that would cause the application of Laws of any jurisdiction other than those of the State of New York.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rPr>
        <w:t>Submission to Jurisdiction</w:t>
      </w:r>
      <w:r>
        <w:rPr>
          <w:rFonts w:ascii="Times New Roman" w:hAnsi="Times New Roman"/>
          <w:sz w:val="20"/>
        </w:rPr>
        <w:t xml:space="preserve">. Any legal suit, action or proceeding arising out of or based on this Warrant Certificate or the transactions contemplated hereby may be instituted in the federal courts of the United States or the courts of the State of New York, in each case located in the city and county of New York. Each party irrevocably submits to the exclusive jurisdiction of such courts in any such suit, action or proceeding. Service of process, summons, notice or other document by certified or registered mail to such party’s address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shall be effective service of process for any suit, action or other proceeding, and the parties irrevocably and unconditionally waive any objection to the laying of venue of any suit, action or other proceeding in such courts and irrevocably waive and agree not to plead or claim in any such court that any such suit, action or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Warrant Certificate may be executed in counterparts, each of which shall be deemed an original, but all of which together shall be deemed to be one and the same agreement. A signed copy of this Warrant Certificate delivered by e-mail or other means of electronic transmission shall be deemed to have the same legal effect as delivery of an original signed copy of this Warrant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rPr>
        <w:t>No Strict Construction</w:t>
      </w:r>
      <w:r>
        <w:rPr>
          <w:rFonts w:ascii="Times New Roman" w:hAnsi="Times New Roman"/>
          <w:sz w:val="20"/>
        </w:rPr>
        <w:t xml:space="preserve">. This Warrant Certificate shall be construed without regard to any presumption or rule requiring construction or interpretation against the party drafting an instrument or causing any instrument to be drafted.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TO THE FULLEST EXTENT PERMITTED BY LAW, EACH PARTY HERETO IRREVOCABLY AND UNCONDITIONALLY WAIVES ANY RIGHT IT MAY HAVE TO TRIAL BY JURY IN RESPECT OF ANY LITIGATION DIRECTLY OR INDIRECTLY ARISING OUT OF OR RELATING TO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duly executed this Warrant Certificate on the Issue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0"/>
        <w:gridCol w:w="116"/>
        <w:gridCol w:w="3376"/>
      </w:tblGrid>
      <w:tr>
        <w:trPr/>
        <w:tc>
          <w:tcPr>
            <w:tcW w:w="59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THERAPEUTICS PLC</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3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76" w:type="dxa"/>
            <w:tcBorders/>
          </w:tcPr>
          <w:p>
            <w:pPr>
              <w:pStyle w:val="TableContents"/>
              <w:bidi w:val="0"/>
              <w:spacing w:before="0" w:after="283"/>
              <w:jc w:val="left"/>
              <w:rPr/>
            </w:pPr>
            <w:r>
              <w:rPr/>
              <w:t>Name:</w:t>
            </w:r>
          </w:p>
        </w:tc>
      </w:tr>
      <w:tr>
        <w:trPr/>
        <w:tc>
          <w:tcPr>
            <w:tcW w:w="590"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76"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w:t>
      </w:r>
    </w:p>
    <w:p>
      <w:pPr>
        <w:pStyle w:val="TextBody"/>
        <w:bidi w:val="0"/>
        <w:spacing w:before="240" w:after="0"/>
        <w:jc w:val="left"/>
        <w:rPr>
          <w:rFonts w:ascii="Times New Roman" w:hAnsi="Times New Roman"/>
          <w:sz w:val="20"/>
        </w:rPr>
      </w:pPr>
      <w:r>
        <w:rPr>
          <w:rFonts w:ascii="Times New Roman" w:hAnsi="Times New Roman"/>
          <w:sz w:val="20"/>
        </w:rPr>
        <w:t xml:space="preserve">PERCEPTIVE CREDIT HOLDINGS V, LP </w:t>
      </w:r>
    </w:p>
    <w:p>
      <w:pPr>
        <w:pStyle w:val="TextBody"/>
        <w:bidi w:val="0"/>
        <w:spacing w:before="240" w:after="0"/>
        <w:jc w:val="left"/>
        <w:rPr>
          <w:rFonts w:ascii="Times New Roman" w:hAnsi="Times New Roman"/>
          <w:sz w:val="20"/>
        </w:rPr>
      </w:pPr>
      <w:r>
        <w:rPr>
          <w:rFonts w:ascii="Times New Roman" w:hAnsi="Times New Roman"/>
          <w:sz w:val="20"/>
        </w:rPr>
        <w:t>By: [PERCEPTIVE CREDIT OPPORTUNITIES GP, LLC]</w:t>
      </w:r>
      <w:r>
        <w:rPr>
          <w:rFonts w:ascii="Times New Roman" w:hAnsi="Times New Roman"/>
          <w:b/>
          <w:sz w:val="20"/>
        </w:rPr>
        <w:t>,</w:t>
      </w:r>
      <w:r>
        <w:rPr>
          <w:rFonts w:ascii="Times New Roman" w:hAnsi="Times New Roman"/>
          <w:sz w:val="20"/>
        </w:rPr>
        <w:t xml:space="preserve"> its general partner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21"/>
        <w:gridCol w:w="61"/>
        <w:gridCol w:w="3300"/>
      </w:tblGrid>
      <w:tr>
        <w:trPr/>
        <w:tc>
          <w:tcPr>
            <w:tcW w:w="72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00" w:type="dxa"/>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pBdr>
                <w:bottom w:val="single" w:sz="2" w:space="1" w:color="000000"/>
              </w:pBdr>
              <w:bidi w:val="0"/>
              <w:spacing w:before="0" w:after="20"/>
              <w:jc w:val="left"/>
              <w:rPr/>
            </w:pPr>
            <w:r>
              <w:rPr/>
              <w:t> </w:t>
            </w:r>
          </w:p>
        </w:tc>
      </w:tr>
      <w:tr>
        <w:trPr/>
        <w:tc>
          <w:tcPr>
            <w:tcW w:w="721"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w:t>
            </w:r>
          </w:p>
        </w:tc>
      </w:tr>
      <w:tr>
        <w:trPr/>
        <w:tc>
          <w:tcPr>
            <w:tcW w:w="721"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w:t>
            </w:r>
          </w:p>
        </w:tc>
      </w:tr>
      <w:tr>
        <w:trPr>
          <w:trHeight w:val="240" w:hRule="atLeast"/>
        </w:trPr>
        <w:tc>
          <w:tcPr>
            <w:tcW w:w="721" w:type="dxa"/>
            <w:tcBorders/>
            <w:vAlign w:val="center"/>
          </w:tcPr>
          <w:p>
            <w:pPr>
              <w:pStyle w:val="TableContents"/>
              <w:bidi w:val="0"/>
              <w:spacing w:before="0" w:after="283"/>
              <w:jc w:val="left"/>
              <w:rPr>
                <w:sz w:val="4"/>
                <w:szCs w:val="4"/>
              </w:rPr>
            </w:pPr>
            <w:r>
              <w:rPr>
                <w:sz w:val="4"/>
                <w:szCs w:val="4"/>
              </w:rPr>
            </w:r>
          </w:p>
        </w:tc>
        <w:tc>
          <w:tcPr>
            <w:tcW w:w="3361" w:type="dxa"/>
            <w:gridSpan w:val="2"/>
            <w:tcBorders/>
            <w:vAlign w:val="center"/>
          </w:tcPr>
          <w:p>
            <w:pPr>
              <w:pStyle w:val="TableContents"/>
              <w:bidi w:val="0"/>
              <w:spacing w:before="0" w:after="283"/>
              <w:jc w:val="left"/>
              <w:rPr>
                <w:sz w:val="4"/>
                <w:szCs w:val="4"/>
              </w:rPr>
            </w:pPr>
            <w:r>
              <w:rPr>
                <w:sz w:val="4"/>
                <w:szCs w:val="4"/>
              </w:rPr>
            </w:r>
          </w:p>
        </w:tc>
      </w:tr>
      <w:tr>
        <w:trPr/>
        <w:tc>
          <w:tcPr>
            <w:tcW w:w="72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pBdr>
                <w:bottom w:val="single" w:sz="2" w:space="1" w:color="000000"/>
              </w:pBdr>
              <w:bidi w:val="0"/>
              <w:spacing w:before="0" w:after="20"/>
              <w:jc w:val="left"/>
              <w:rPr/>
            </w:pPr>
            <w:r>
              <w:rPr/>
              <w:t> </w:t>
            </w:r>
          </w:p>
        </w:tc>
      </w:tr>
      <w:tr>
        <w:trPr/>
        <w:tc>
          <w:tcPr>
            <w:tcW w:w="721"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w:t>
            </w:r>
          </w:p>
        </w:tc>
      </w:tr>
      <w:tr>
        <w:trPr/>
        <w:tc>
          <w:tcPr>
            <w:tcW w:w="721"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00" w:type="dxa"/>
            <w:tcBorders/>
          </w:tcPr>
          <w:p>
            <w:pPr>
              <w:pStyle w:val="TableContents"/>
              <w:bidi w:val="0"/>
              <w:spacing w:before="0" w:after="283"/>
              <w:jc w:val="left"/>
              <w:rPr/>
            </w:pPr>
            <w:r>
              <w:rPr/>
              <w: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0" w:after="0"/>
        <w:jc w:val="right"/>
        <w:rPr>
          <w:rFonts w:ascii="Times New Roman" w:hAnsi="Times New Roman"/>
          <w:b/>
          <w:sz w:val="20"/>
        </w:rPr>
      </w:pPr>
      <w:r>
        <w:rPr>
          <w:rFonts w:ascii="Times New Roman" w:hAnsi="Times New Roman"/>
          <w:b/>
          <w:sz w:val="20"/>
        </w:rPr>
        <w:t xml:space="preserve">to Warrant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EXERCISE CERTIFICATE </w:t>
      </w:r>
    </w:p>
    <w:p>
      <w:pPr>
        <w:pStyle w:val="TextBody"/>
        <w:bidi w:val="0"/>
        <w:spacing w:before="240" w:after="0"/>
        <w:jc w:val="center"/>
        <w:rPr>
          <w:rFonts w:ascii="Times New Roman" w:hAnsi="Times New Roman"/>
          <w:sz w:val="20"/>
        </w:rPr>
      </w:pPr>
      <w:r>
        <w:rPr>
          <w:rFonts w:ascii="Times New Roman" w:hAnsi="Times New Roman"/>
          <w:sz w:val="20"/>
        </w:rPr>
        <w:t xml:space="preserve">(To be signed only upon exercise of Warrant Certificate)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AUTOLUS THERAPEUTICS PLC </w:t>
            </w:r>
          </w:p>
        </w:tc>
      </w:tr>
    </w:tbl>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Warrant Certificate, having an issue date of [] 2026 and bearing Warrant Certificate No. 01 (the “</w:t>
      </w:r>
      <w:r>
        <w:rPr>
          <w:rFonts w:ascii="Times New Roman" w:hAnsi="Times New Roman"/>
          <w:b/>
          <w:i/>
          <w:sz w:val="20"/>
        </w:rPr>
        <w:t>Warrant Certificate</w:t>
      </w:r>
      <w:r>
        <w:rPr>
          <w:rFonts w:ascii="Times New Roman" w:hAnsi="Times New Roman"/>
          <w:sz w:val="20"/>
        </w:rPr>
        <w:t>”), issued by AUTOLUS THERAPEUTICS PLC (the “</w:t>
      </w:r>
      <w:r>
        <w:rPr>
          <w:rFonts w:ascii="Times New Roman" w:hAnsi="Times New Roman"/>
          <w:b/>
          <w:i/>
          <w:sz w:val="20"/>
        </w:rPr>
        <w:t>Company</w:t>
      </w:r>
      <w:r>
        <w:rPr>
          <w:rFonts w:ascii="Times New Roman" w:hAnsi="Times New Roman"/>
          <w:sz w:val="20"/>
        </w:rPr>
        <w:t>”) to the undersigned (the “</w:t>
      </w:r>
      <w:r>
        <w:rPr>
          <w:rFonts w:ascii="Times New Roman" w:hAnsi="Times New Roman"/>
          <w:b/>
          <w:i/>
          <w:sz w:val="20"/>
        </w:rPr>
        <w:t>Holder</w:t>
      </w:r>
      <w:r>
        <w:rPr>
          <w:rFonts w:ascii="Times New Roman" w:hAnsi="Times New Roman"/>
          <w:sz w:val="20"/>
        </w:rPr>
        <w:t xml:space="preserve">”), a true and correct copy of which is attached to this Exercise Certificate. Unless otherwise defined, capitalized terms used herein have the meanings ascribed thereto in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represents and warrants that it is the Holder of the Warrant Certificate. Pursuant to the terms of the Warrant Certificate, the undersigned hereby elects to exercise its purchase right represented by such Warrant Certificate for, and to purchase thereunder, [________ (_____)] Warrant ADSs of the Company and herewith makes payment with respect to this Exercise Certificate of [___________ Dollars ($________)] therefor by the following method. </w:t>
      </w:r>
    </w:p>
    <w:p>
      <w:pPr>
        <w:pStyle w:val="TextBody"/>
        <w:bidi w:val="0"/>
        <w:spacing w:before="240" w:after="0"/>
        <w:jc w:val="left"/>
        <w:rPr>
          <w:rFonts w:ascii="Times New Roman" w:hAnsi="Times New Roman"/>
          <w:sz w:val="20"/>
        </w:rPr>
      </w:pPr>
      <w:r>
        <w:rPr>
          <w:rFonts w:ascii="Times New Roman" w:hAnsi="Times New Roman"/>
          <w:sz w:val="20"/>
        </w:rPr>
        <w:t xml:space="preserve">(Check all that apply): </w:t>
      </w:r>
    </w:p>
    <w:p>
      <w:pPr>
        <w:pStyle w:val="TextBody"/>
        <w:bidi w:val="0"/>
        <w:spacing w:before="240" w:after="0"/>
        <w:jc w:val="left"/>
        <w:rPr/>
      </w:pPr>
      <w:r>
        <w:rPr/>
        <w:t>☐ </w:t>
      </w:r>
      <w:r>
        <w:rPr>
          <w:rFonts w:ascii="Times New Roman" w:hAnsi="Times New Roman"/>
          <w:sz w:val="20"/>
        </w:rPr>
        <w:t>The undersigned hereby elects to make payment of the Aggregate Exercise Price of [</w:t>
      </w:r>
      <w:r>
        <w:rPr>
          <w:rFonts w:ascii="Times New Roman" w:hAnsi="Times New Roman"/>
          <w:sz w:val="20"/>
          <w:u w:val="single"/>
        </w:rPr>
        <w:t xml:space="preserve">      </w:t>
      </w:r>
      <w:r>
        <w:rPr>
          <w:rFonts w:ascii="Times New Roman" w:hAnsi="Times New Roman"/>
          <w:sz w:val="20"/>
        </w:rPr>
        <w:t>Dollars ($</w:t>
      </w:r>
      <w:r>
        <w:rPr>
          <w:rFonts w:ascii="Times New Roman" w:hAnsi="Times New Roman"/>
          <w:sz w:val="20"/>
          <w:u w:val="single"/>
        </w:rPr>
        <w:t>     </w:t>
      </w:r>
      <w:r>
        <w:rPr>
          <w:rFonts w:ascii="Times New Roman" w:hAnsi="Times New Roman"/>
          <w:sz w:val="20"/>
        </w:rPr>
        <w:t>)] for [(</w:t>
      </w:r>
      <w:r>
        <w:rPr>
          <w:rFonts w:ascii="Times New Roman" w:hAnsi="Times New Roman"/>
          <w:sz w:val="20"/>
          <w:u w:val="single"/>
        </w:rPr>
        <w:t>     </w:t>
      </w:r>
      <w:r>
        <w:rPr>
          <w:rFonts w:ascii="Times New Roman" w:hAnsi="Times New Roman"/>
          <w:sz w:val="20"/>
        </w:rPr>
        <w:t xml:space="preserve">)] ADSs using the method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3(b)(i)</w:t>
      </w:r>
      <w:r>
        <w:rPr>
          <w:rFonts w:ascii="Times New Roman" w:hAnsi="Times New Roman"/>
          <w:sz w:val="20"/>
        </w:rPr>
        <w:t xml:space="preserve">. </w:t>
      </w:r>
    </w:p>
    <w:p>
      <w:pPr>
        <w:pStyle w:val="TextBody"/>
        <w:bidi w:val="0"/>
        <w:spacing w:before="240" w:after="0"/>
        <w:jc w:val="left"/>
        <w:rPr/>
      </w:pPr>
      <w:r>
        <w:rPr/>
        <w:t>☐ </w:t>
      </w:r>
      <w:r>
        <w:rPr>
          <w:rFonts w:ascii="Times New Roman" w:hAnsi="Times New Roman"/>
          <w:sz w:val="20"/>
        </w:rPr>
        <w:t>The undersigned hereby elects to make payment of the Aggregate Exercise Price of [</w:t>
      </w:r>
      <w:r>
        <w:rPr>
          <w:rFonts w:ascii="Times New Roman" w:hAnsi="Times New Roman"/>
          <w:sz w:val="20"/>
          <w:u w:val="single"/>
        </w:rPr>
        <w:t xml:space="preserve">      </w:t>
      </w:r>
      <w:r>
        <w:rPr>
          <w:rFonts w:ascii="Times New Roman" w:hAnsi="Times New Roman"/>
          <w:sz w:val="20"/>
        </w:rPr>
        <w:t>Dollars ($</w:t>
      </w:r>
      <w:r>
        <w:rPr>
          <w:rFonts w:ascii="Times New Roman" w:hAnsi="Times New Roman"/>
          <w:sz w:val="20"/>
          <w:u w:val="single"/>
        </w:rPr>
        <w:t>     </w:t>
      </w:r>
      <w:r>
        <w:rPr>
          <w:rFonts w:ascii="Times New Roman" w:hAnsi="Times New Roman"/>
          <w:sz w:val="20"/>
        </w:rPr>
        <w:t>)] for [(</w:t>
      </w:r>
      <w:r>
        <w:rPr>
          <w:rFonts w:ascii="Times New Roman" w:hAnsi="Times New Roman"/>
          <w:sz w:val="20"/>
          <w:u w:val="single"/>
        </w:rPr>
        <w:t xml:space="preserve">      </w:t>
      </w:r>
      <w:r>
        <w:rPr>
          <w:rFonts w:ascii="Times New Roman" w:hAnsi="Times New Roman"/>
          <w:sz w:val="20"/>
        </w:rPr>
        <w:t xml:space="preserve">)] ADSs using the method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3(b)(ii)</w:t>
      </w:r>
      <w:r>
        <w:rPr>
          <w:rFonts w:ascii="Times New Roman" w:hAnsi="Times New Roman"/>
          <w:sz w:val="20"/>
        </w:rPr>
        <w:t xml:space="preserve">. </w:t>
      </w:r>
    </w:p>
    <w:p>
      <w:pPr>
        <w:pStyle w:val="TextBody"/>
        <w:bidi w:val="0"/>
        <w:spacing w:before="240" w:after="0"/>
        <w:jc w:val="left"/>
        <w:rPr/>
      </w:pPr>
      <w:r>
        <w:rPr/>
        <w:t>☐ </w:t>
      </w:r>
      <w:r>
        <w:rPr>
          <w:rFonts w:ascii="Times New Roman" w:hAnsi="Times New Roman"/>
          <w:sz w:val="20"/>
        </w:rPr>
        <w:t>The undersigned hereby elects to make payment of the Aggregate Exercise Price of [</w:t>
      </w:r>
      <w:r>
        <w:rPr>
          <w:rFonts w:ascii="Times New Roman" w:hAnsi="Times New Roman"/>
          <w:sz w:val="20"/>
          <w:u w:val="single"/>
        </w:rPr>
        <w:t>     </w:t>
      </w:r>
      <w:r>
        <w:rPr>
          <w:rFonts w:ascii="Times New Roman" w:hAnsi="Times New Roman"/>
          <w:sz w:val="20"/>
        </w:rPr>
        <w:t>Dollars ($</w:t>
      </w:r>
      <w:r>
        <w:rPr>
          <w:rFonts w:ascii="Times New Roman" w:hAnsi="Times New Roman"/>
          <w:sz w:val="20"/>
          <w:u w:val="single"/>
        </w:rPr>
        <w:t>     </w:t>
      </w:r>
      <w:r>
        <w:rPr>
          <w:rFonts w:ascii="Times New Roman" w:hAnsi="Times New Roman"/>
          <w:sz w:val="20"/>
        </w:rPr>
        <w:t>)] for [(</w:t>
      </w:r>
      <w:r>
        <w:rPr>
          <w:rFonts w:ascii="Times New Roman" w:hAnsi="Times New Roman"/>
          <w:sz w:val="20"/>
          <w:u w:val="single"/>
        </w:rPr>
        <w:t>     </w:t>
      </w:r>
      <w:r>
        <w:rPr>
          <w:rFonts w:ascii="Times New Roman" w:hAnsi="Times New Roman"/>
          <w:sz w:val="20"/>
        </w:rPr>
        <w:t xml:space="preserve">)] ADSs using the method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3"/>
        <w:gridCol w:w="66"/>
        <w:gridCol w:w="3683"/>
      </w:tblGrid>
      <w:tr>
        <w:trPr/>
        <w:tc>
          <w:tcPr>
            <w:tcW w:w="333"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HOLDER]</w:t>
            </w:r>
          </w:p>
        </w:tc>
      </w:tr>
      <w:tr>
        <w:trPr>
          <w:trHeight w:val="240" w:hRule="atLeast"/>
        </w:trPr>
        <w:tc>
          <w:tcPr>
            <w:tcW w:w="333" w:type="dxa"/>
            <w:tcBorders/>
            <w:vAlign w:val="center"/>
          </w:tcPr>
          <w:p>
            <w:pPr>
              <w:pStyle w:val="TableContents"/>
              <w:bidi w:val="0"/>
              <w:spacing w:before="0" w:after="283"/>
              <w:jc w:val="left"/>
              <w:rPr>
                <w:sz w:val="4"/>
                <w:szCs w:val="4"/>
              </w:rPr>
            </w:pPr>
            <w:r>
              <w:rPr>
                <w:sz w:val="4"/>
                <w:szCs w:val="4"/>
              </w:rPr>
            </w:r>
          </w:p>
        </w:tc>
        <w:tc>
          <w:tcPr>
            <w:tcW w:w="3749" w:type="dxa"/>
            <w:gridSpan w:val="2"/>
            <w:tcBorders/>
            <w:vAlign w:val="center"/>
          </w:tcPr>
          <w:p>
            <w:pPr>
              <w:pStyle w:val="TableContents"/>
              <w:bidi w:val="0"/>
              <w:spacing w:before="0" w:after="283"/>
              <w:jc w:val="left"/>
              <w:rPr>
                <w:sz w:val="4"/>
                <w:szCs w:val="4"/>
              </w:rPr>
            </w:pPr>
            <w:r>
              <w:rPr>
                <w:sz w:val="4"/>
                <w:szCs w:val="4"/>
              </w:rPr>
            </w:r>
          </w:p>
        </w:tc>
      </w:tr>
      <w:tr>
        <w:trPr/>
        <w:tc>
          <w:tcPr>
            <w:tcW w:w="333"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pBdr>
                <w:bottom w:val="single" w:sz="2" w:space="1" w:color="000000"/>
              </w:pBdr>
              <w:bidi w:val="0"/>
              <w:spacing w:before="0" w:after="20"/>
              <w:jc w:val="left"/>
              <w:rPr/>
            </w:pPr>
            <w:r>
              <w:rPr/>
              <w:t> </w:t>
            </w:r>
          </w:p>
        </w:tc>
      </w:tr>
      <w:tr>
        <w:trPr/>
        <w:tc>
          <w:tcPr>
            <w:tcW w:w="333"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bidi w:val="0"/>
              <w:spacing w:before="0" w:after="283"/>
              <w:jc w:val="left"/>
              <w:rPr/>
            </w:pPr>
            <w:r>
              <w:rPr/>
              <w:t>Name:</w:t>
            </w:r>
          </w:p>
        </w:tc>
      </w:tr>
      <w:tr>
        <w:trPr/>
        <w:tc>
          <w:tcPr>
            <w:tcW w:w="333"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0" w:after="0"/>
        <w:jc w:val="right"/>
        <w:rPr>
          <w:rFonts w:ascii="Times New Roman" w:hAnsi="Times New Roman"/>
          <w:b/>
          <w:sz w:val="20"/>
        </w:rPr>
      </w:pPr>
      <w:r>
        <w:rPr>
          <w:rFonts w:ascii="Times New Roman" w:hAnsi="Times New Roman"/>
          <w:b/>
          <w:sz w:val="20"/>
        </w:rPr>
        <w:t xml:space="preserve">to Warrant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ASSIGNMENT </w:t>
      </w:r>
    </w:p>
    <w:p>
      <w:pPr>
        <w:pStyle w:val="TextBody"/>
        <w:bidi w:val="0"/>
        <w:spacing w:before="240" w:after="0"/>
        <w:jc w:val="center"/>
        <w:rPr>
          <w:rFonts w:ascii="Times New Roman" w:hAnsi="Times New Roman"/>
          <w:sz w:val="20"/>
        </w:rPr>
      </w:pPr>
      <w:r>
        <w:rPr>
          <w:rFonts w:ascii="Times New Roman" w:hAnsi="Times New Roman"/>
          <w:sz w:val="20"/>
        </w:rPr>
        <w:t xml:space="preserve">[DATE OF ASSIGNMENT] </w:t>
      </w:r>
    </w:p>
    <w:p>
      <w:pPr>
        <w:pStyle w:val="TextBody"/>
        <w:bidi w:val="0"/>
        <w:spacing w:before="240" w:after="0"/>
        <w:jc w:val="left"/>
        <w:rPr>
          <w:rFonts w:ascii="Times New Roman" w:hAnsi="Times New Roman"/>
          <w:sz w:val="20"/>
        </w:rPr>
      </w:pPr>
      <w:r>
        <w:rPr>
          <w:rFonts w:ascii="Times New Roman" w:hAnsi="Times New Roman"/>
          <w:sz w:val="20"/>
        </w:rPr>
        <w:t>Reference is made to that certain Warrant Certificate, having an issue date of [] and bearing Warrant Certificate No. 01 (the “</w:t>
      </w:r>
      <w:r>
        <w:rPr>
          <w:rFonts w:ascii="Times New Roman" w:hAnsi="Times New Roman"/>
          <w:b/>
          <w:i/>
          <w:sz w:val="20"/>
        </w:rPr>
        <w:t>Warrant Certificate</w:t>
      </w:r>
      <w:r>
        <w:rPr>
          <w:rFonts w:ascii="Times New Roman" w:hAnsi="Times New Roman"/>
          <w:sz w:val="20"/>
        </w:rPr>
        <w:t>”), issued by AUTOLUS THERAPEUTICS PLC (the “</w:t>
      </w:r>
      <w:r>
        <w:rPr>
          <w:rFonts w:ascii="Times New Roman" w:hAnsi="Times New Roman"/>
          <w:b/>
          <w:i/>
          <w:sz w:val="20"/>
        </w:rPr>
        <w:t>Company</w:t>
      </w:r>
      <w:r>
        <w:rPr>
          <w:rFonts w:ascii="Times New Roman" w:hAnsi="Times New Roman"/>
          <w:sz w:val="20"/>
        </w:rPr>
        <w:t>”) to the undersigned (the “</w:t>
      </w:r>
      <w:r>
        <w:rPr>
          <w:rFonts w:ascii="Times New Roman" w:hAnsi="Times New Roman"/>
          <w:b/>
          <w:i/>
          <w:sz w:val="20"/>
        </w:rPr>
        <w:t>Holder</w:t>
      </w:r>
      <w:r>
        <w:rPr>
          <w:rFonts w:ascii="Times New Roman" w:hAnsi="Times New Roman"/>
          <w:sz w:val="20"/>
        </w:rPr>
        <w:t xml:space="preserve">”), a true and correct copy of which is attached to this Assignment. Unless otherwise defined herein, capitalized terms used herein have the meanings ascribed thereto in the Warrant Certificate.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Warrant Certificate, the Holder is entitled to purchase up to [] Warrant ADSs. </w:t>
      </w:r>
    </w:p>
    <w:p>
      <w:pPr>
        <w:pStyle w:val="TextBody"/>
        <w:bidi w:val="0"/>
        <w:spacing w:before="240" w:after="0"/>
        <w:jc w:val="left"/>
        <w:rPr>
          <w:rFonts w:ascii="Times New Roman" w:hAnsi="Times New Roman"/>
          <w:sz w:val="20"/>
        </w:rPr>
      </w:pPr>
      <w:r>
        <w:rPr>
          <w:rFonts w:ascii="Times New Roman" w:hAnsi="Times New Roman"/>
          <w:sz w:val="20"/>
        </w:rPr>
        <w:t>FOR VALUE RECEIVED, the Holder hereby sells, assigns and transfers to [NAME OF ASSIGNEE] (the “</w:t>
      </w:r>
      <w:r>
        <w:rPr>
          <w:rFonts w:ascii="Times New Roman" w:hAnsi="Times New Roman"/>
          <w:b/>
          <w:i/>
          <w:sz w:val="20"/>
        </w:rPr>
        <w:t>Assignee</w:t>
      </w:r>
      <w:r>
        <w:rPr>
          <w:rFonts w:ascii="Times New Roman" w:hAnsi="Times New Roman"/>
          <w:sz w:val="20"/>
        </w:rPr>
        <w:t xml:space="preserve">”) the right to acquire [all Warrant ADSs entitled to be purchased upon exercise of the Warrant Certificate] [______ of the Warrant ADSs entitled to be purchased upon exercise of the Warrant Certificate]. In furtherance of the foregoing assignment, the Holder hereby irrevocably instructs the Company to (i) memorialize such assignment in the Warrant Register as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of the Warrant Certificate, and (ii) pursuant to </w:t>
      </w: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of the Warrant Certificate, execute and deliver to [each of] the Assignee [and the Holder][a new Warrant Certificate][new Warrant Certificates] reflecting the foregoing assignment (each, a “</w:t>
      </w:r>
      <w:r>
        <w:rPr>
          <w:rFonts w:ascii="Times New Roman" w:hAnsi="Times New Roman"/>
          <w:b/>
          <w:i/>
          <w:sz w:val="20"/>
        </w:rPr>
        <w:t>Substitute Warrant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Assignee acknowledges and agrees that it is (and will be) bound by the terms and provisions of its Substitute Warrant Certificate, and further acknowledges and agrees that its Substitute Warrant Certificate and the Warrant ADSs to be issued upon exercise thereof are being acquired for investment and that the Assignee will not offer, sell or otherwise dispose of its Substitute Warrant Certificate or any Warrant ADSs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(and for so long as)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10(a)</w:t>
      </w:r>
      <w:r>
        <w:rPr>
          <w:rFonts w:ascii="Times New Roman" w:hAnsi="Times New Roman"/>
          <w:sz w:val="20"/>
        </w:rPr>
        <w:t xml:space="preserve"> of the Warrant Certificate, the Assignee acknowledges and agrees that restrictive legends shall be applied to the Assignee’s Substitute Warrant and the Warrant ADSs issuable upon exercise of such certificate substantially consistent with the legends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10(a)</w:t>
      </w:r>
      <w:r>
        <w:rPr>
          <w:rFonts w:ascii="Times New Roman" w:hAnsi="Times New Roman"/>
          <w:sz w:val="20"/>
        </w:rPr>
        <w:t xml:space="preserve"> of the Warrant Certificate.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agree as set forth above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3"/>
        <w:gridCol w:w="66"/>
        <w:gridCol w:w="3683"/>
      </w:tblGrid>
      <w:tr>
        <w:trPr/>
        <w:tc>
          <w:tcPr>
            <w:tcW w:w="333"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HOLDER]</w:t>
            </w:r>
          </w:p>
        </w:tc>
      </w:tr>
      <w:tr>
        <w:trPr>
          <w:trHeight w:val="240" w:hRule="atLeast"/>
        </w:trPr>
        <w:tc>
          <w:tcPr>
            <w:tcW w:w="333" w:type="dxa"/>
            <w:tcBorders/>
            <w:vAlign w:val="center"/>
          </w:tcPr>
          <w:p>
            <w:pPr>
              <w:pStyle w:val="TableContents"/>
              <w:bidi w:val="0"/>
              <w:spacing w:before="0" w:after="283"/>
              <w:jc w:val="left"/>
              <w:rPr>
                <w:sz w:val="4"/>
                <w:szCs w:val="4"/>
              </w:rPr>
            </w:pPr>
            <w:r>
              <w:rPr>
                <w:sz w:val="4"/>
                <w:szCs w:val="4"/>
              </w:rPr>
            </w:r>
          </w:p>
        </w:tc>
        <w:tc>
          <w:tcPr>
            <w:tcW w:w="3749" w:type="dxa"/>
            <w:gridSpan w:val="2"/>
            <w:tcBorders/>
            <w:vAlign w:val="center"/>
          </w:tcPr>
          <w:p>
            <w:pPr>
              <w:pStyle w:val="TableContents"/>
              <w:bidi w:val="0"/>
              <w:spacing w:before="0" w:after="283"/>
              <w:jc w:val="left"/>
              <w:rPr>
                <w:sz w:val="4"/>
                <w:szCs w:val="4"/>
              </w:rPr>
            </w:pPr>
            <w:r>
              <w:rPr>
                <w:sz w:val="4"/>
                <w:szCs w:val="4"/>
              </w:rPr>
            </w:r>
          </w:p>
        </w:tc>
      </w:tr>
      <w:tr>
        <w:trPr/>
        <w:tc>
          <w:tcPr>
            <w:tcW w:w="333"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pBdr>
                <w:bottom w:val="single" w:sz="2" w:space="1" w:color="000000"/>
              </w:pBdr>
              <w:bidi w:val="0"/>
              <w:spacing w:before="0" w:after="20"/>
              <w:jc w:val="left"/>
              <w:rPr/>
            </w:pPr>
            <w:r>
              <w:rPr/>
              <w:t> </w:t>
            </w:r>
          </w:p>
        </w:tc>
      </w:tr>
      <w:tr>
        <w:trPr/>
        <w:tc>
          <w:tcPr>
            <w:tcW w:w="333"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bidi w:val="0"/>
              <w:spacing w:before="0" w:after="283"/>
              <w:jc w:val="left"/>
              <w:rPr/>
            </w:pPr>
            <w:r>
              <w:rPr/>
              <w:t>Name:</w:t>
            </w:r>
          </w:p>
        </w:tc>
      </w:tr>
      <w:tr>
        <w:trPr/>
        <w:tc>
          <w:tcPr>
            <w:tcW w:w="333" w:type="dxa"/>
            <w:tcBorders/>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3683" w:type="dxa"/>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54"/>
        <w:gridCol w:w="71"/>
        <w:gridCol w:w="3457"/>
      </w:tblGrid>
      <w:tr>
        <w:trPr/>
        <w:tc>
          <w:tcPr>
            <w:tcW w:w="554"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554" w:type="dxa"/>
            <w:tcBorders/>
            <w:vAlign w:val="center"/>
          </w:tcPr>
          <w:p>
            <w:pPr>
              <w:pStyle w:val="TableContents"/>
              <w:bidi w:val="0"/>
              <w:spacing w:before="0" w:after="283"/>
              <w:jc w:val="left"/>
              <w:rPr>
                <w:sz w:val="4"/>
                <w:szCs w:val="4"/>
              </w:rPr>
            </w:pPr>
            <w:r>
              <w:rPr>
                <w:sz w:val="4"/>
                <w:szCs w:val="4"/>
              </w:rPr>
            </w:r>
          </w:p>
        </w:tc>
        <w:tc>
          <w:tcPr>
            <w:tcW w:w="3528"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54"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54"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w:t>
            </w:r>
          </w:p>
        </w:tc>
      </w:tr>
      <w:tr>
        <w:trPr>
          <w:trHeight w:val="240" w:hRule="atLeast"/>
        </w:trPr>
        <w:tc>
          <w:tcPr>
            <w:tcW w:w="554" w:type="dxa"/>
            <w:tcBorders/>
            <w:vAlign w:val="center"/>
          </w:tcPr>
          <w:p>
            <w:pPr>
              <w:pStyle w:val="TableContents"/>
              <w:bidi w:val="0"/>
              <w:spacing w:before="0" w:after="283"/>
              <w:jc w:val="left"/>
              <w:rPr>
                <w:sz w:val="4"/>
                <w:szCs w:val="4"/>
              </w:rPr>
            </w:pPr>
            <w:r>
              <w:rPr>
                <w:sz w:val="4"/>
                <w:szCs w:val="4"/>
              </w:rPr>
            </w:r>
          </w:p>
        </w:tc>
        <w:tc>
          <w:tcPr>
            <w:tcW w:w="3528"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pBdr>
                <w:bottom w:val="single" w:sz="2" w:space="1" w:color="000000"/>
              </w:pBdr>
              <w:bidi w:val="0"/>
              <w:spacing w:before="0" w:after="20"/>
              <w:jc w:val="left"/>
              <w:rPr/>
            </w:pPr>
            <w:r>
              <w:rPr/>
              <w:t> </w:t>
            </w:r>
          </w:p>
        </w:tc>
      </w:tr>
      <w:tr>
        <w:trPr/>
        <w:tc>
          <w:tcPr>
            <w:tcW w:w="554"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Name:</w:t>
            </w:r>
          </w:p>
        </w:tc>
      </w:tr>
      <w:tr>
        <w:trPr/>
        <w:tc>
          <w:tcPr>
            <w:tcW w:w="554"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5" w:name="d156965dex101.htm"/>
      <w:bookmarkStart w:id="6" w:name="ksd156965dex101"/>
      <w:bookmarkEnd w:id="5"/>
      <w:bookmarkEnd w:id="6"/>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CERTAIN IDENTIFIED INFORMATION HAS BEEN EXCLUDED FROM THIS </w:t>
      </w:r>
    </w:p>
    <w:p>
      <w:pPr>
        <w:pStyle w:val="TextBody"/>
        <w:bidi w:val="0"/>
        <w:spacing w:before="0" w:after="0"/>
        <w:jc w:val="center"/>
        <w:rPr>
          <w:rFonts w:ascii="Times New Roman" w:hAnsi="Times New Roman"/>
          <w:b/>
          <w:sz w:val="20"/>
        </w:rPr>
      </w:pPr>
      <w:r>
        <w:rPr>
          <w:rFonts w:ascii="Times New Roman" w:hAnsi="Times New Roman"/>
          <w:b/>
          <w:sz w:val="20"/>
        </w:rPr>
        <w:t xml:space="preserve">EXHIBIT BECAUSE IT IS NOT MATERIAL AND WOULD LIKELY CAUSE </w:t>
      </w:r>
    </w:p>
    <w:p>
      <w:pPr>
        <w:pStyle w:val="TextBody"/>
        <w:bidi w:val="0"/>
        <w:spacing w:before="0" w:after="0"/>
        <w:jc w:val="center"/>
        <w:rPr>
          <w:rFonts w:ascii="Times New Roman" w:hAnsi="Times New Roman"/>
          <w:b/>
          <w:sz w:val="20"/>
        </w:rPr>
      </w:pPr>
      <w:r>
        <w:rPr>
          <w:rFonts w:ascii="Times New Roman" w:hAnsi="Times New Roman"/>
          <w:b/>
          <w:sz w:val="20"/>
        </w:rPr>
        <w:t xml:space="preserve">COMPETITIVE HARM TO THE REGISTRANT IF PUBLICLY DISCLOSED. THE </w:t>
      </w:r>
    </w:p>
    <w:p>
      <w:pPr>
        <w:pStyle w:val="TextBody"/>
        <w:bidi w:val="0"/>
        <w:spacing w:before="0" w:after="0"/>
        <w:jc w:val="center"/>
        <w:rPr>
          <w:rFonts w:ascii="Times New Roman" w:hAnsi="Times New Roman"/>
          <w:b/>
          <w:sz w:val="20"/>
        </w:rPr>
      </w:pPr>
      <w:r>
        <w:rPr>
          <w:rFonts w:ascii="Times New Roman" w:hAnsi="Times New Roman"/>
          <w:b/>
          <w:sz w:val="20"/>
        </w:rPr>
        <w:t xml:space="preserve">OMISSIONS HAVE BEEN INDICATED BY “[***].” </w:t>
      </w:r>
    </w:p>
    <w:p>
      <w:pPr>
        <w:pStyle w:val="TextBody"/>
        <w:bidi w:val="0"/>
        <w:spacing w:before="240" w:after="0"/>
        <w:jc w:val="center"/>
        <w:rPr>
          <w:rFonts w:ascii="Times New Roman" w:hAnsi="Times New Roman"/>
          <w:b/>
          <w:sz w:val="20"/>
        </w:rPr>
      </w:pPr>
      <w:r>
        <w:rPr>
          <w:rFonts w:ascii="Times New Roman" w:hAnsi="Times New Roman"/>
          <w:b/>
          <w:sz w:val="20"/>
        </w:rPr>
        <w:t xml:space="preserve">NOTE PURCHASE AGREEMENT AND GUARANTY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30,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AUTOLUS THERAPEUTICS PLC, </w:t>
      </w:r>
    </w:p>
    <w:p>
      <w:pPr>
        <w:pStyle w:val="TextBody"/>
        <w:bidi w:val="0"/>
        <w:spacing w:before="0" w:after="0"/>
        <w:jc w:val="center"/>
        <w:rPr>
          <w:rFonts w:ascii="Times New Roman" w:hAnsi="Times New Roman"/>
          <w:b/>
          <w:sz w:val="20"/>
        </w:rPr>
      </w:pPr>
      <w:r>
        <w:rPr>
          <w:rFonts w:ascii="Times New Roman" w:hAnsi="Times New Roman"/>
          <w:b/>
          <w:sz w:val="20"/>
        </w:rPr>
        <w:t xml:space="preserve">as the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THE GUARANTORS FROM TIME TO TIME PARTY HERETO </w:t>
      </w:r>
    </w:p>
    <w:p>
      <w:pPr>
        <w:pStyle w:val="TextBody"/>
        <w:bidi w:val="0"/>
        <w:spacing w:before="0" w:after="0"/>
        <w:jc w:val="center"/>
        <w:rPr>
          <w:rFonts w:ascii="Times New Roman" w:hAnsi="Times New Roman"/>
          <w:b/>
          <w:sz w:val="20"/>
        </w:rPr>
      </w:pPr>
      <w:r>
        <w:rPr>
          <w:rFonts w:ascii="Times New Roman" w:hAnsi="Times New Roman"/>
          <w:b/>
          <w:sz w:val="20"/>
        </w:rPr>
        <w:t xml:space="preserve">as the Guarantors </w:t>
      </w:r>
    </w:p>
    <w:p>
      <w:pPr>
        <w:pStyle w:val="TextBody"/>
        <w:bidi w:val="0"/>
        <w:spacing w:before="240" w:after="0"/>
        <w:jc w:val="center"/>
        <w:rPr>
          <w:rFonts w:ascii="Times New Roman" w:hAnsi="Times New Roman"/>
          <w:b/>
          <w:sz w:val="20"/>
        </w:rPr>
      </w:pPr>
      <w:r>
        <w:rPr>
          <w:rFonts w:ascii="Times New Roman" w:hAnsi="Times New Roman"/>
          <w:b/>
          <w:sz w:val="20"/>
        </w:rPr>
        <w:t xml:space="preserve">THE NOTEHOLDERS FROM TIME TO TIME PARTY HERETO, </w:t>
      </w:r>
    </w:p>
    <w:p>
      <w:pPr>
        <w:pStyle w:val="TextBody"/>
        <w:bidi w:val="0"/>
        <w:spacing w:before="0" w:after="0"/>
        <w:jc w:val="center"/>
        <w:rPr>
          <w:rFonts w:ascii="Times New Roman" w:hAnsi="Times New Roman"/>
          <w:b/>
          <w:sz w:val="20"/>
        </w:rPr>
      </w:pPr>
      <w:r>
        <w:rPr>
          <w:rFonts w:ascii="Times New Roman" w:hAnsi="Times New Roman"/>
          <w:b/>
          <w:sz w:val="20"/>
        </w:rPr>
        <w:t xml:space="preserve">as the Noteholders; and </w:t>
      </w:r>
    </w:p>
    <w:p>
      <w:pPr>
        <w:pStyle w:val="TextBody"/>
        <w:bidi w:val="0"/>
        <w:spacing w:before="240" w:after="0"/>
        <w:jc w:val="center"/>
        <w:rPr>
          <w:rFonts w:ascii="Times New Roman" w:hAnsi="Times New Roman"/>
          <w:b/>
          <w:sz w:val="20"/>
        </w:rPr>
      </w:pPr>
      <w:r>
        <w:rPr>
          <w:rFonts w:ascii="Times New Roman" w:hAnsi="Times New Roman"/>
          <w:b/>
          <w:sz w:val="20"/>
        </w:rPr>
        <w:t xml:space="preserve">PERCEPTIVE CREDIT HOLDINGS V, LP </w:t>
      </w:r>
    </w:p>
    <w:p>
      <w:pPr>
        <w:pStyle w:val="TextBody"/>
        <w:bidi w:val="0"/>
        <w:spacing w:before="0" w:after="0"/>
        <w:jc w:val="center"/>
        <w:rPr>
          <w:rFonts w:ascii="Times New Roman" w:hAnsi="Times New Roman"/>
          <w:b/>
          <w:sz w:val="20"/>
        </w:rPr>
      </w:pPr>
      <w:r>
        <w:rPr>
          <w:rFonts w:ascii="Times New Roman" w:hAnsi="Times New Roman"/>
          <w:b/>
          <w:sz w:val="20"/>
        </w:rPr>
        <w:t xml:space="preserve">as the Administrative Agent </w:t>
      </w:r>
    </w:p>
    <w:p>
      <w:pPr>
        <w:pStyle w:val="TextBody"/>
        <w:bidi w:val="0"/>
        <w:spacing w:before="240" w:after="0"/>
        <w:jc w:val="center"/>
        <w:rPr>
          <w:rFonts w:ascii="Times New Roman" w:hAnsi="Times New Roman"/>
          <w:b/>
          <w:sz w:val="20"/>
        </w:rPr>
      </w:pPr>
      <w:r>
        <w:rPr>
          <w:rFonts w:ascii="Times New Roman" w:hAnsi="Times New Roman"/>
          <w:b/>
          <w:sz w:val="20"/>
        </w:rPr>
        <w:t xml:space="preserve">U.S. $250,000,000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
        <w:gridCol w:w="103"/>
        <w:gridCol w:w="8633"/>
        <w:gridCol w:w="155"/>
        <w:gridCol w:w="96"/>
        <w:gridCol w:w="419"/>
        <w:gridCol w:w="63"/>
      </w:tblGrid>
      <w:tr>
        <w:trPr/>
        <w:tc>
          <w:tcPr>
            <w:tcW w:w="7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8633"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 DEFINITIONS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Certain Defined Terms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Accounting Terms and Principles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Interpretation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Divisions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Reference Rate Replacement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Times of Day; Times of Performance</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Rates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Miscellaneous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472" w:type="dxa"/>
            <w:gridSpan w:val="3"/>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2 THE COMMITMENTS AND THE NOTES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Issuance of Notes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Procedures for the Issuance of Notes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Noteholder Representations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Use of Proceeds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Constitution of the Notes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Signing and Authenticating Notes Certificates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Status of Notes Certificate</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2.08</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Stocks of Blank Notes Certificates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2.09</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Delivery of Replacements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Replacement Notes Certificates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Replacements to be Numbered</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Cancellation and Destruction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Notification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Legend</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472" w:type="dxa"/>
            <w:gridSpan w:val="3"/>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3 PAYMENTS, REDEMPTION AND INTEREST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Payments and Redemption Generally; Application</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Interest</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Early Redemption; Early Redemption Premium</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472" w:type="dxa"/>
            <w:gridSpan w:val="3"/>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94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4 PAYMENTS, ETC.</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8736" w:type="dxa"/>
            <w:gridSpan w:val="2"/>
            <w:tcBorders/>
            <w:vAlign w:val="center"/>
          </w:tcPr>
          <w:p>
            <w:pPr>
              <w:pStyle w:val="TableContents"/>
              <w:bidi w:val="0"/>
              <w:spacing w:before="0" w:after="283"/>
              <w:jc w:val="left"/>
              <w:rPr>
                <w:sz w:val="4"/>
                <w:szCs w:val="4"/>
              </w:rPr>
            </w:pPr>
            <w:r>
              <w:rPr>
                <w:sz w:val="4"/>
                <w:szCs w:val="4"/>
              </w:rPr>
            </w:r>
          </w:p>
        </w:tc>
        <w:tc>
          <w:tcPr>
            <w:tcW w:w="733"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103" w:type="dxa"/>
            <w:tcBorders/>
            <w:vAlign w:val="bottom"/>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t>Payments</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
        <w:gridCol w:w="83"/>
        <w:gridCol w:w="8828"/>
        <w:gridCol w:w="139"/>
        <w:gridCol w:w="96"/>
        <w:gridCol w:w="419"/>
        <w:gridCol w:w="64"/>
      </w:tblGrid>
      <w:tr>
        <w:trPr/>
        <w:tc>
          <w:tcPr>
            <w:tcW w:w="576"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82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Computations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Set-Off</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5 YIELD PROTECTION, ETC.</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Additional Costs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Illegality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Taxes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6 CONDITIONS PRECEDENT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Conditions to the Closing Date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Conditions to the Issuance and Sale of Notes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120" w:hRule="atLeast"/>
        </w:trPr>
        <w:tc>
          <w:tcPr>
            <w:tcW w:w="9487" w:type="dxa"/>
            <w:gridSpan w:val="3"/>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948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7 REPRESENTATIONS AND WARRANTIES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Power and Authority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Authorization; Enforceability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Governmental and Other Approvals; No Conflicts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7.04</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Financial Statements; Material Adverse Change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7.05</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Properties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7.06</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No Actions or Proceedings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7.07</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Compliance with Laws and Agreements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7.08</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Taxes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7.09</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Full Disclosure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Investment Company Act and Margin Stock Regulation</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Solvency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Equity Holders, Subsidiaries and Other Investments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Continuing Indebtedness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Material Agreements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Restrictive Agreements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Real Property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7.17</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Pension Matters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7.18</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Priority of Obligations; Collateral; Security Interest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7.19</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Governmental Approvals in Respect of Ordinary Course Activities, Etc.</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rHeight w:val="120" w:hRule="atLeast"/>
        </w:trPr>
        <w:tc>
          <w:tcPr>
            <w:tcW w:w="576" w:type="dxa"/>
            <w:tcBorders/>
            <w:vAlign w:val="center"/>
          </w:tcPr>
          <w:p>
            <w:pPr>
              <w:pStyle w:val="TableContents"/>
              <w:bidi w:val="0"/>
              <w:spacing w:before="0" w:after="283"/>
              <w:jc w:val="left"/>
              <w:rPr>
                <w:sz w:val="4"/>
                <w:szCs w:val="4"/>
              </w:rPr>
            </w:pPr>
            <w:r>
              <w:rPr>
                <w:sz w:val="4"/>
                <w:szCs w:val="4"/>
              </w:rPr>
            </w:r>
          </w:p>
        </w:tc>
        <w:tc>
          <w:tcPr>
            <w:tcW w:w="8911" w:type="dxa"/>
            <w:gridSpan w:val="2"/>
            <w:tcBorders/>
            <w:vAlign w:val="center"/>
          </w:tcPr>
          <w:p>
            <w:pPr>
              <w:pStyle w:val="TableContents"/>
              <w:bidi w:val="0"/>
              <w:spacing w:before="0" w:after="283"/>
              <w:jc w:val="left"/>
              <w:rPr>
                <w:sz w:val="4"/>
                <w:szCs w:val="4"/>
              </w:rPr>
            </w:pPr>
            <w:r>
              <w:rPr>
                <w:sz w:val="4"/>
                <w:szCs w:val="4"/>
              </w:rPr>
            </w:r>
          </w:p>
        </w:tc>
        <w:tc>
          <w:tcPr>
            <w:tcW w:w="718" w:type="dxa"/>
            <w:gridSpan w:val="4"/>
            <w:tcBorders/>
            <w:vAlign w:val="center"/>
          </w:tcPr>
          <w:p>
            <w:pPr>
              <w:pStyle w:val="TableContents"/>
              <w:bidi w:val="0"/>
              <w:spacing w:before="0" w:after="283"/>
              <w:jc w:val="left"/>
              <w:rPr>
                <w:sz w:val="4"/>
                <w:szCs w:val="4"/>
              </w:rPr>
            </w:pPr>
            <w:r>
              <w:rPr>
                <w:sz w:val="4"/>
                <w:szCs w:val="4"/>
              </w:rPr>
            </w:r>
          </w:p>
        </w:tc>
      </w:tr>
      <w:tr>
        <w:trPr/>
        <w:tc>
          <w:tcPr>
            <w:tcW w:w="576" w:type="dxa"/>
            <w:tcBorders/>
          </w:tcPr>
          <w:p>
            <w:pPr>
              <w:pStyle w:val="TableContents"/>
              <w:bidi w:val="0"/>
              <w:spacing w:before="0" w:after="0"/>
              <w:jc w:val="left"/>
              <w:rPr>
                <w:rFonts w:ascii="Times New Roman" w:hAnsi="Times New Roman"/>
                <w:sz w:val="20"/>
              </w:rPr>
            </w:pPr>
            <w:r>
              <w:rPr>
                <w:rFonts w:ascii="Times New Roman" w:hAnsi="Times New Roman"/>
                <w:sz w:val="20"/>
              </w:rPr>
              <w:t>7.20</w:t>
            </w:r>
          </w:p>
        </w:tc>
        <w:tc>
          <w:tcPr>
            <w:tcW w:w="83" w:type="dxa"/>
            <w:tcBorders/>
            <w:vAlign w:val="bottom"/>
          </w:tcPr>
          <w:p>
            <w:pPr>
              <w:pStyle w:val="TableContents"/>
              <w:bidi w:val="0"/>
              <w:spacing w:before="0" w:after="283"/>
              <w:jc w:val="left"/>
              <w:rPr/>
            </w:pPr>
            <w:r>
              <w:rPr/>
              <w:t> </w:t>
            </w:r>
          </w:p>
        </w:tc>
        <w:tc>
          <w:tcPr>
            <w:tcW w:w="8828" w:type="dxa"/>
            <w:tcBorders/>
            <w:vAlign w:val="bottom"/>
          </w:tcPr>
          <w:p>
            <w:pPr>
              <w:pStyle w:val="TableContents"/>
              <w:bidi w:val="0"/>
              <w:spacing w:before="0" w:after="283"/>
              <w:jc w:val="left"/>
              <w:rPr/>
            </w:pPr>
            <w:r>
              <w:rPr/>
              <w:t>Transactions with Affiliates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
        <w:gridCol w:w="88"/>
        <w:gridCol w:w="8777"/>
        <w:gridCol w:w="144"/>
        <w:gridCol w:w="96"/>
        <w:gridCol w:w="420"/>
        <w:gridCol w:w="63"/>
      </w:tblGrid>
      <w:tr>
        <w:trPr/>
        <w:tc>
          <w:tcPr>
            <w:tcW w:w="617"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77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7.21</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Anti-Terrorism Laws; Sanctions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7.22</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Anti-Corruption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7.23</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Deposit and Disbursement Accounts and Investment Accounts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7.24</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Centre of Main Interests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7.25</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Royalty and Other Payments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7.26</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Persons with Significant Control Regime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7.27</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Data Privacy and Security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8 AFFIRMATIVE COVENANTS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Financial Statements and Other Information</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Notices of Material Events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Existence; Conduct of Business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Payment of Obligations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8.05</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Insurance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8.06</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Books and Records; Inspection Rights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8.07</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Compliance with Laws and Material Agreements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8.08</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Maintenance of Properties, Etc.</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8.09</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Governmental Approvals, Etc.</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8.10</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Action Under Environmental Laws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8.11</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Use of Proceeds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8.12</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Certain Obligations Respecting Subsidiaries; Further Assurances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8.13</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Termination of Non-Permitted Liens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8.14</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Maintenance of Governmental Approvals and Intellectual Property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8.15</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ERISA and Foreign Pension Plan Compliance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8.16</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Cash Management</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8.17</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Title, Headleases, Power to Remedy</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8.18</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Register of Mortgages and Charges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8.19</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Post-Closing Covenants</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8.20</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List</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8865"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0"/>
              <w:jc w:val="left"/>
              <w:rPr>
                <w:rFonts w:ascii="Times New Roman" w:hAnsi="Times New Roman"/>
                <w:sz w:val="20"/>
              </w:rPr>
            </w:pPr>
            <w:r>
              <w:rPr>
                <w:rFonts w:ascii="Times New Roman" w:hAnsi="Times New Roman"/>
                <w:sz w:val="20"/>
              </w:rPr>
              <w:t>8.21</w:t>
            </w:r>
          </w:p>
        </w:tc>
        <w:tc>
          <w:tcPr>
            <w:tcW w:w="88" w:type="dxa"/>
            <w:tcBorders/>
            <w:vAlign w:val="bottom"/>
          </w:tcPr>
          <w:p>
            <w:pPr>
              <w:pStyle w:val="TableContents"/>
              <w:bidi w:val="0"/>
              <w:spacing w:before="0" w:after="283"/>
              <w:jc w:val="left"/>
              <w:rPr/>
            </w:pPr>
            <w:r>
              <w:rPr/>
              <w:t> </w:t>
            </w:r>
          </w:p>
        </w:tc>
        <w:tc>
          <w:tcPr>
            <w:tcW w:w="8777" w:type="dxa"/>
            <w:tcBorders/>
            <w:vAlign w:val="bottom"/>
          </w:tcPr>
          <w:p>
            <w:pPr>
              <w:pStyle w:val="TableContents"/>
              <w:bidi w:val="0"/>
              <w:spacing w:before="0" w:after="283"/>
              <w:jc w:val="left"/>
              <w:rPr/>
            </w:pPr>
            <w:r>
              <w:rPr/>
              <w:t>Persons with Significant Control Regime</w:t>
            </w:r>
          </w:p>
        </w:tc>
        <w:tc>
          <w:tcPr>
            <w:tcW w:w="14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
        <w:gridCol w:w="81"/>
        <w:gridCol w:w="8755"/>
        <w:gridCol w:w="133"/>
        <w:gridCol w:w="70"/>
        <w:gridCol w:w="445"/>
        <w:gridCol w:w="65"/>
      </w:tblGrid>
      <w:tr>
        <w:trPr/>
        <w:tc>
          <w:tcPr>
            <w:tcW w:w="65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7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5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9 NEGATIVE COVENANTS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Indebtedness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Liens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Fundamental Changes, Acquisitions, Etc.</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Lines of Business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Investments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Restricted Payments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Payments of Indebtedness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Change in Fiscal Year</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Sales of Assets, Etc.</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Transactions with Affiliates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Restrictive Agreements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Modifications of Organic Documents; Termination of Material Agreements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Sales and Leasebacks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Hazardous Material</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Accounting Changes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Compliance with ERISA</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9.17</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9.18</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Sanctions; Anti-Corruption Use of Proceeds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9.19</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Inbound and Outbound Licenses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104</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9.20</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Title, Headleases, Development</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9.21</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UK Pensions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5"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10 FINANCIAL COVENANTS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10.01</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Minimum Liquidity</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10.02</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Minimum Consolidated Net Revenue</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5"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11 EVENTS OF DEFAULT</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11.01</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Events of Default</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11.02</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Remedies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5" w:type="dxa"/>
            <w:tcBorders/>
            <w:vAlign w:val="bottom"/>
          </w:tcPr>
          <w:p>
            <w:pPr>
              <w:pStyle w:val="TableContents"/>
              <w:bidi w:val="0"/>
              <w:spacing w:before="0" w:after="283"/>
              <w:jc w:val="left"/>
              <w:rPr/>
            </w:pPr>
            <w:r>
              <w:rPr/>
              <w:t> </w:t>
            </w:r>
          </w:p>
        </w:tc>
      </w:tr>
      <w:tr>
        <w:trPr>
          <w:trHeight w:val="120" w:hRule="atLeast"/>
        </w:trPr>
        <w:tc>
          <w:tcPr>
            <w:tcW w:w="656" w:type="dxa"/>
            <w:tcBorders/>
            <w:vAlign w:val="center"/>
          </w:tcPr>
          <w:p>
            <w:pPr>
              <w:pStyle w:val="TableContents"/>
              <w:bidi w:val="0"/>
              <w:spacing w:before="0" w:after="283"/>
              <w:jc w:val="left"/>
              <w:rPr>
                <w:sz w:val="4"/>
                <w:szCs w:val="4"/>
              </w:rPr>
            </w:pPr>
            <w:r>
              <w:rPr>
                <w:sz w:val="4"/>
                <w:szCs w:val="4"/>
              </w:rPr>
            </w:r>
          </w:p>
        </w:tc>
        <w:tc>
          <w:tcPr>
            <w:tcW w:w="8836"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0"/>
              <w:jc w:val="left"/>
              <w:rPr>
                <w:rFonts w:ascii="Times New Roman" w:hAnsi="Times New Roman"/>
                <w:sz w:val="20"/>
              </w:rPr>
            </w:pPr>
            <w:r>
              <w:rPr>
                <w:rFonts w:ascii="Times New Roman" w:hAnsi="Times New Roman"/>
                <w:sz w:val="20"/>
              </w:rPr>
              <w:t>11.03</w:t>
            </w:r>
          </w:p>
        </w:tc>
        <w:tc>
          <w:tcPr>
            <w:tcW w:w="81" w:type="dxa"/>
            <w:tcBorders/>
            <w:vAlign w:val="bottom"/>
          </w:tcPr>
          <w:p>
            <w:pPr>
              <w:pStyle w:val="TableContents"/>
              <w:bidi w:val="0"/>
              <w:spacing w:before="0" w:after="283"/>
              <w:jc w:val="left"/>
              <w:rPr/>
            </w:pPr>
            <w:r>
              <w:rPr/>
              <w:t> </w:t>
            </w:r>
          </w:p>
        </w:tc>
        <w:tc>
          <w:tcPr>
            <w:tcW w:w="8755" w:type="dxa"/>
            <w:tcBorders/>
            <w:vAlign w:val="bottom"/>
          </w:tcPr>
          <w:p>
            <w:pPr>
              <w:pStyle w:val="TableContents"/>
              <w:bidi w:val="0"/>
              <w:spacing w:before="0" w:after="283"/>
              <w:jc w:val="left"/>
              <w:rPr/>
            </w:pPr>
            <w:r>
              <w:rPr/>
              <w:t>Additional Remedies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7"/>
        <w:gridCol w:w="100"/>
        <w:gridCol w:w="8571"/>
        <w:gridCol w:w="146"/>
        <w:gridCol w:w="70"/>
        <w:gridCol w:w="448"/>
        <w:gridCol w:w="63"/>
      </w:tblGrid>
      <w:tr>
        <w:trPr/>
        <w:tc>
          <w:tcPr>
            <w:tcW w:w="80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57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11.04</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Application of Payments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12 THE ADMINISTRATIVE AGENT</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12.01</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Appointment and Duties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12.02</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Binding Effect</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12.03</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Use of Discretion</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12.04</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Delegation of Rights and Duties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12.05</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Reliance and Liability</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12.06</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Administrative Agent Individually</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12.07</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Noteholder Credit Decision</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12.08</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Expenses; Indemnities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12.09</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Resignation of the Administrative Agent</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117</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12.10</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Release of Collateral or Guarantors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118</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12.11</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Additional Secured Parties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12.12</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Agent May File Proofs of Claim</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rHeight w:val="12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13 GUARANTEE</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13.01</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The Guarantee</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13.02</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Obligations Unconditional</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120</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13.03</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Reinstatement</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121</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13.04</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Subrogation</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13.05</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Remedies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13.06</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Instrument for the Payment of Money</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13.07</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Continuing Guarantee</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13.08</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General Limitation on Guarantee Obligations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13.09</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UK Guarantee Limitations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13.10</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Limitations on Enforcement for German Guarantors.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478" w:type="dxa"/>
            <w:gridSpan w:val="3"/>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94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SECTION 14 MISCELLANEOUS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14.01</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No Waiver</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14.02</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Notices</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14.03</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Expenses, Indemnification, Etc.</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rHeight w:val="120" w:hRule="atLeast"/>
        </w:trPr>
        <w:tc>
          <w:tcPr>
            <w:tcW w:w="807" w:type="dxa"/>
            <w:tcBorders/>
            <w:vAlign w:val="center"/>
          </w:tcPr>
          <w:p>
            <w:pPr>
              <w:pStyle w:val="TableContents"/>
              <w:bidi w:val="0"/>
              <w:spacing w:before="0" w:after="283"/>
              <w:jc w:val="left"/>
              <w:rPr>
                <w:sz w:val="4"/>
                <w:szCs w:val="4"/>
              </w:rPr>
            </w:pPr>
            <w:r>
              <w:rPr>
                <w:sz w:val="4"/>
                <w:szCs w:val="4"/>
              </w:rPr>
            </w:r>
          </w:p>
        </w:tc>
        <w:tc>
          <w:tcPr>
            <w:tcW w:w="8671"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807" w:type="dxa"/>
            <w:tcBorders/>
          </w:tcPr>
          <w:p>
            <w:pPr>
              <w:pStyle w:val="TableContents"/>
              <w:bidi w:val="0"/>
              <w:spacing w:before="0" w:after="0"/>
              <w:jc w:val="left"/>
              <w:rPr>
                <w:rFonts w:ascii="Times New Roman" w:hAnsi="Times New Roman"/>
                <w:sz w:val="20"/>
              </w:rPr>
            </w:pPr>
            <w:r>
              <w:rPr>
                <w:rFonts w:ascii="Times New Roman" w:hAnsi="Times New Roman"/>
                <w:sz w:val="20"/>
              </w:rPr>
              <w:t>14.04</w:t>
            </w:r>
          </w:p>
        </w:tc>
        <w:tc>
          <w:tcPr>
            <w:tcW w:w="100" w:type="dxa"/>
            <w:tcBorders/>
            <w:vAlign w:val="bottom"/>
          </w:tcPr>
          <w:p>
            <w:pPr>
              <w:pStyle w:val="TableContents"/>
              <w:bidi w:val="0"/>
              <w:spacing w:before="0" w:after="283"/>
              <w:jc w:val="left"/>
              <w:rPr/>
            </w:pPr>
            <w:r>
              <w:rPr/>
              <w:t> </w:t>
            </w:r>
          </w:p>
        </w:tc>
        <w:tc>
          <w:tcPr>
            <w:tcW w:w="8571" w:type="dxa"/>
            <w:tcBorders/>
            <w:vAlign w:val="bottom"/>
          </w:tcPr>
          <w:p>
            <w:pPr>
              <w:pStyle w:val="TableContents"/>
              <w:bidi w:val="0"/>
              <w:spacing w:before="0" w:after="283"/>
              <w:jc w:val="left"/>
              <w:rPr/>
            </w:pPr>
            <w:r>
              <w:rPr/>
              <w:t>Amendments, Etc.</w:t>
            </w:r>
          </w:p>
        </w:tc>
        <w:tc>
          <w:tcPr>
            <w:tcW w:w="146"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0"/>
        <w:gridCol w:w="80"/>
        <w:gridCol w:w="8763"/>
        <w:gridCol w:w="133"/>
        <w:gridCol w:w="70"/>
        <w:gridCol w:w="446"/>
        <w:gridCol w:w="63"/>
      </w:tblGrid>
      <w:tr>
        <w:trPr/>
        <w:tc>
          <w:tcPr>
            <w:tcW w:w="65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14.05</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Successors and Assigns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14.06</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Survival</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14.07</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Captions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14.08</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Counterparts; Electronic Signatures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14.09</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Governing Law</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14.10</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Jurisdiction, Service of Process and Venue</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14.11</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Waiver of Jury Trial</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14.12</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Waiver of Immunity</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14.13</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Entire Agreement</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14.14</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Severability</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132</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14.15</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No Fiduciary Relationship</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14.16</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Confidentiality</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14.17</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Interest Rate Limitation</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14.18</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Early Redemption Fee</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14.19</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Judgment Currency</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14.20</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USA PATRIOT Act</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134</w:t>
            </w:r>
          </w:p>
        </w:tc>
        <w:tc>
          <w:tcPr>
            <w:tcW w:w="63" w:type="dxa"/>
            <w:tcBorders/>
            <w:vAlign w:val="bottom"/>
          </w:tcPr>
          <w:p>
            <w:pPr>
              <w:pStyle w:val="TableContents"/>
              <w:bidi w:val="0"/>
              <w:spacing w:before="0" w:after="283"/>
              <w:jc w:val="left"/>
              <w:rPr/>
            </w:pPr>
            <w:r>
              <w:rPr/>
              <w:t> </w:t>
            </w:r>
          </w:p>
        </w:tc>
      </w:tr>
      <w:tr>
        <w:trPr>
          <w:trHeight w:val="120" w:hRule="atLeast"/>
        </w:trPr>
        <w:tc>
          <w:tcPr>
            <w:tcW w:w="650" w:type="dxa"/>
            <w:tcBorders/>
            <w:vAlign w:val="center"/>
          </w:tcPr>
          <w:p>
            <w:pPr>
              <w:pStyle w:val="TableContents"/>
              <w:bidi w:val="0"/>
              <w:spacing w:before="0" w:after="283"/>
              <w:jc w:val="left"/>
              <w:rPr>
                <w:sz w:val="4"/>
                <w:szCs w:val="4"/>
              </w:rPr>
            </w:pPr>
            <w:r>
              <w:rPr>
                <w:sz w:val="4"/>
                <w:szCs w:val="4"/>
              </w:rPr>
            </w:r>
          </w:p>
        </w:tc>
        <w:tc>
          <w:tcPr>
            <w:tcW w:w="8843" w:type="dxa"/>
            <w:gridSpan w:val="2"/>
            <w:tcBorders/>
            <w:vAlign w:val="center"/>
          </w:tcPr>
          <w:p>
            <w:pPr>
              <w:pStyle w:val="TableContents"/>
              <w:bidi w:val="0"/>
              <w:spacing w:before="0" w:after="283"/>
              <w:jc w:val="left"/>
              <w:rPr>
                <w:sz w:val="4"/>
                <w:szCs w:val="4"/>
              </w:rPr>
            </w:pPr>
            <w:r>
              <w:rPr>
                <w:sz w:val="4"/>
                <w:szCs w:val="4"/>
              </w:rPr>
            </w:r>
          </w:p>
        </w:tc>
        <w:tc>
          <w:tcPr>
            <w:tcW w:w="712" w:type="dxa"/>
            <w:gridSpan w:val="4"/>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14.21</w:t>
            </w:r>
          </w:p>
        </w:tc>
        <w:tc>
          <w:tcPr>
            <w:tcW w:w="80" w:type="dxa"/>
            <w:tcBorders/>
            <w:vAlign w:val="bottom"/>
          </w:tcPr>
          <w:p>
            <w:pPr>
              <w:pStyle w:val="TableContents"/>
              <w:bidi w:val="0"/>
              <w:spacing w:before="0" w:after="283"/>
              <w:jc w:val="left"/>
              <w:rPr/>
            </w:pPr>
            <w:r>
              <w:rPr/>
              <w:t> </w:t>
            </w:r>
          </w:p>
        </w:tc>
        <w:tc>
          <w:tcPr>
            <w:tcW w:w="8763" w:type="dxa"/>
            <w:tcBorders/>
            <w:vAlign w:val="bottom"/>
          </w:tcPr>
          <w:p>
            <w:pPr>
              <w:pStyle w:val="TableContents"/>
              <w:bidi w:val="0"/>
              <w:spacing w:before="0" w:after="283"/>
              <w:jc w:val="left"/>
              <w:rPr/>
            </w:pPr>
            <w:r>
              <w:rPr/>
              <w:t>Acknowledgement and Consent to Bail-In of Affected Financial Institutions</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80"/>
        <w:gridCol w:w="316"/>
        <w:gridCol w:w="308"/>
        <w:gridCol w:w="316"/>
        <w:gridCol w:w="7785"/>
      </w:tblGrid>
      <w:tr>
        <w:trPr/>
        <w:tc>
          <w:tcPr>
            <w:tcW w:w="148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778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SCHEDULES AND EXHIBITS</w:t>
            </w:r>
          </w:p>
        </w:tc>
      </w:tr>
      <w:tr>
        <w:trPr>
          <w:trHeight w:val="240" w:hRule="atLeast"/>
        </w:trPr>
        <w:tc>
          <w:tcPr>
            <w:tcW w:w="1480" w:type="dxa"/>
            <w:tcBorders/>
            <w:vAlign w:val="center"/>
          </w:tcPr>
          <w:p>
            <w:pPr>
              <w:pStyle w:val="TableContents"/>
              <w:bidi w:val="0"/>
              <w:spacing w:before="0" w:after="283"/>
              <w:jc w:val="left"/>
              <w:rPr>
                <w:sz w:val="4"/>
                <w:szCs w:val="4"/>
              </w:rPr>
            </w:pPr>
            <w:r>
              <w:rPr>
                <w:sz w:val="4"/>
                <w:szCs w:val="4"/>
              </w:rPr>
            </w:r>
          </w:p>
        </w:tc>
        <w:tc>
          <w:tcPr>
            <w:tcW w:w="624" w:type="dxa"/>
            <w:gridSpan w:val="2"/>
            <w:tcBorders/>
            <w:vAlign w:val="center"/>
          </w:tcPr>
          <w:p>
            <w:pPr>
              <w:pStyle w:val="TableContents"/>
              <w:bidi w:val="0"/>
              <w:spacing w:before="0" w:after="283"/>
              <w:jc w:val="left"/>
              <w:rPr>
                <w:sz w:val="4"/>
                <w:szCs w:val="4"/>
              </w:rPr>
            </w:pPr>
            <w:r>
              <w:rPr>
                <w:sz w:val="4"/>
                <w:szCs w:val="4"/>
              </w:rPr>
            </w:r>
          </w:p>
        </w:tc>
        <w:tc>
          <w:tcPr>
            <w:tcW w:w="8101" w:type="dxa"/>
            <w:gridSpan w:val="2"/>
            <w:tcBorders/>
            <w:vAlign w:val="center"/>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283"/>
              <w:jc w:val="left"/>
              <w:rPr/>
            </w:pPr>
            <w:r>
              <w:rPr/>
              <w:t>Schedule A</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Competitors</w:t>
            </w:r>
          </w:p>
        </w:tc>
      </w:tr>
      <w:tr>
        <w:trPr/>
        <w:tc>
          <w:tcPr>
            <w:tcW w:w="1480" w:type="dxa"/>
            <w:tcBorders/>
          </w:tcPr>
          <w:p>
            <w:pPr>
              <w:pStyle w:val="TableContents"/>
              <w:bidi w:val="0"/>
              <w:spacing w:before="0" w:after="283"/>
              <w:jc w:val="left"/>
              <w:rPr/>
            </w:pPr>
            <w:r>
              <w:rPr/>
              <w:t>Schedule B</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Permitted Licenses</w:t>
            </w:r>
          </w:p>
        </w:tc>
      </w:tr>
      <w:tr>
        <w:trPr>
          <w:trHeight w:val="240" w:hRule="atLeast"/>
        </w:trPr>
        <w:tc>
          <w:tcPr>
            <w:tcW w:w="1480" w:type="dxa"/>
            <w:tcBorders/>
            <w:vAlign w:val="center"/>
          </w:tcPr>
          <w:p>
            <w:pPr>
              <w:pStyle w:val="TableContents"/>
              <w:bidi w:val="0"/>
              <w:spacing w:before="0" w:after="283"/>
              <w:jc w:val="left"/>
              <w:rPr>
                <w:sz w:val="4"/>
                <w:szCs w:val="4"/>
              </w:rPr>
            </w:pPr>
            <w:r>
              <w:rPr>
                <w:sz w:val="4"/>
                <w:szCs w:val="4"/>
              </w:rPr>
            </w:r>
          </w:p>
        </w:tc>
        <w:tc>
          <w:tcPr>
            <w:tcW w:w="624" w:type="dxa"/>
            <w:gridSpan w:val="2"/>
            <w:tcBorders/>
            <w:vAlign w:val="center"/>
          </w:tcPr>
          <w:p>
            <w:pPr>
              <w:pStyle w:val="TableContents"/>
              <w:bidi w:val="0"/>
              <w:spacing w:before="0" w:after="283"/>
              <w:jc w:val="left"/>
              <w:rPr>
                <w:sz w:val="4"/>
                <w:szCs w:val="4"/>
              </w:rPr>
            </w:pPr>
            <w:r>
              <w:rPr>
                <w:sz w:val="4"/>
                <w:szCs w:val="4"/>
              </w:rPr>
            </w:r>
          </w:p>
        </w:tc>
        <w:tc>
          <w:tcPr>
            <w:tcW w:w="8101" w:type="dxa"/>
            <w:gridSpan w:val="2"/>
            <w:tcBorders/>
            <w:vAlign w:val="center"/>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283"/>
              <w:jc w:val="left"/>
              <w:rPr/>
            </w:pPr>
            <w:r>
              <w:rPr/>
              <w:t>Schedule 1</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Commitments</w:t>
            </w:r>
          </w:p>
        </w:tc>
      </w:tr>
      <w:tr>
        <w:trPr/>
        <w:tc>
          <w:tcPr>
            <w:tcW w:w="1480" w:type="dxa"/>
            <w:tcBorders/>
          </w:tcPr>
          <w:p>
            <w:pPr>
              <w:pStyle w:val="TableContents"/>
              <w:bidi w:val="0"/>
              <w:spacing w:before="0" w:after="283"/>
              <w:jc w:val="left"/>
              <w:rPr/>
            </w:pPr>
            <w:r>
              <w:rPr/>
              <w:t>Schedule 7.05(b)</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Intellectual Property</w:t>
            </w:r>
          </w:p>
        </w:tc>
      </w:tr>
      <w:tr>
        <w:trPr/>
        <w:tc>
          <w:tcPr>
            <w:tcW w:w="1480" w:type="dxa"/>
            <w:tcBorders/>
          </w:tcPr>
          <w:p>
            <w:pPr>
              <w:pStyle w:val="TableContents"/>
              <w:bidi w:val="0"/>
              <w:spacing w:before="0" w:after="283"/>
              <w:jc w:val="left"/>
              <w:rPr/>
            </w:pPr>
            <w:r>
              <w:rPr/>
              <w:t>Schedule 7.06(a)</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Certain Litigation</w:t>
            </w:r>
          </w:p>
        </w:tc>
      </w:tr>
      <w:tr>
        <w:trPr/>
        <w:tc>
          <w:tcPr>
            <w:tcW w:w="1480" w:type="dxa"/>
            <w:tcBorders/>
          </w:tcPr>
          <w:p>
            <w:pPr>
              <w:pStyle w:val="TableContents"/>
              <w:bidi w:val="0"/>
              <w:spacing w:before="0" w:after="283"/>
              <w:jc w:val="left"/>
              <w:rPr/>
            </w:pPr>
            <w:r>
              <w:rPr/>
              <w:t>Schedule 7.06(c)</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Labor Matters</w:t>
            </w:r>
          </w:p>
        </w:tc>
      </w:tr>
      <w:tr>
        <w:trPr/>
        <w:tc>
          <w:tcPr>
            <w:tcW w:w="1480" w:type="dxa"/>
            <w:tcBorders/>
          </w:tcPr>
          <w:p>
            <w:pPr>
              <w:pStyle w:val="TableContents"/>
              <w:bidi w:val="0"/>
              <w:spacing w:before="0" w:after="283"/>
              <w:jc w:val="left"/>
              <w:rPr/>
            </w:pPr>
            <w:r>
              <w:rPr/>
              <w:t>Schedule 7.08</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Taxes</w:t>
            </w:r>
          </w:p>
        </w:tc>
      </w:tr>
      <w:tr>
        <w:trPr/>
        <w:tc>
          <w:tcPr>
            <w:tcW w:w="1480" w:type="dxa"/>
            <w:tcBorders/>
          </w:tcPr>
          <w:p>
            <w:pPr>
              <w:pStyle w:val="TableContents"/>
              <w:bidi w:val="0"/>
              <w:spacing w:before="0" w:after="283"/>
              <w:jc w:val="left"/>
              <w:rPr/>
            </w:pPr>
            <w:r>
              <w:rPr/>
              <w:t>Schedule 7.12(a)</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Subsidiaries of the Issuer</w:t>
            </w:r>
          </w:p>
        </w:tc>
      </w:tr>
      <w:tr>
        <w:trPr/>
        <w:tc>
          <w:tcPr>
            <w:tcW w:w="1480" w:type="dxa"/>
            <w:tcBorders/>
          </w:tcPr>
          <w:p>
            <w:pPr>
              <w:pStyle w:val="TableContents"/>
              <w:bidi w:val="0"/>
              <w:spacing w:before="0" w:after="283"/>
              <w:jc w:val="left"/>
              <w:rPr/>
            </w:pPr>
            <w:r>
              <w:rPr/>
              <w:t>Schedule 7.12(b)</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Other Equity Interests owned or held by the Issuer or its Subsidiaries</w:t>
            </w:r>
          </w:p>
        </w:tc>
      </w:tr>
      <w:tr>
        <w:trPr/>
        <w:tc>
          <w:tcPr>
            <w:tcW w:w="1480" w:type="dxa"/>
            <w:tcBorders/>
          </w:tcPr>
          <w:p>
            <w:pPr>
              <w:pStyle w:val="TableContents"/>
              <w:bidi w:val="0"/>
              <w:spacing w:before="0" w:after="283"/>
              <w:jc w:val="left"/>
              <w:rPr/>
            </w:pPr>
            <w:r>
              <w:rPr/>
              <w:t>Schedule 7.13</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Existing Indebtedness of the Issuer and each of its Subsidiaries</w:t>
            </w:r>
          </w:p>
        </w:tc>
      </w:tr>
      <w:tr>
        <w:trPr/>
        <w:tc>
          <w:tcPr>
            <w:tcW w:w="1480" w:type="dxa"/>
            <w:tcBorders/>
          </w:tcPr>
          <w:p>
            <w:pPr>
              <w:pStyle w:val="TableContents"/>
              <w:bidi w:val="0"/>
              <w:spacing w:before="0" w:after="283"/>
              <w:jc w:val="left"/>
              <w:rPr/>
            </w:pPr>
            <w:r>
              <w:rPr/>
              <w:t>Schedule 7.14</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Material Agreements of Obligors</w:t>
            </w:r>
          </w:p>
        </w:tc>
      </w:tr>
      <w:tr>
        <w:trPr/>
        <w:tc>
          <w:tcPr>
            <w:tcW w:w="1480" w:type="dxa"/>
            <w:tcBorders/>
          </w:tcPr>
          <w:p>
            <w:pPr>
              <w:pStyle w:val="TableContents"/>
              <w:bidi w:val="0"/>
              <w:spacing w:before="0" w:after="283"/>
              <w:jc w:val="left"/>
              <w:rPr/>
            </w:pPr>
            <w:r>
              <w:rPr/>
              <w:t>Schedule 7.15</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Restrictive Agreements</w:t>
            </w:r>
          </w:p>
        </w:tc>
      </w:tr>
      <w:tr>
        <w:trPr/>
        <w:tc>
          <w:tcPr>
            <w:tcW w:w="1480" w:type="dxa"/>
            <w:tcBorders/>
          </w:tcPr>
          <w:p>
            <w:pPr>
              <w:pStyle w:val="TableContents"/>
              <w:bidi w:val="0"/>
              <w:spacing w:before="0" w:after="283"/>
              <w:jc w:val="left"/>
              <w:rPr/>
            </w:pPr>
            <w:r>
              <w:rPr/>
              <w:t>Schedule 7.16</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Real Property Owned or Leased by the Issuer or any Subsidiary</w:t>
            </w:r>
          </w:p>
        </w:tc>
      </w:tr>
      <w:tr>
        <w:trPr/>
        <w:tc>
          <w:tcPr>
            <w:tcW w:w="1480" w:type="dxa"/>
            <w:tcBorders/>
          </w:tcPr>
          <w:p>
            <w:pPr>
              <w:pStyle w:val="TableContents"/>
              <w:bidi w:val="0"/>
              <w:spacing w:before="0" w:after="283"/>
              <w:jc w:val="left"/>
              <w:rPr/>
            </w:pPr>
            <w:r>
              <w:rPr/>
              <w:t>Schedule 7.20</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Transactions with Affiliates</w:t>
            </w:r>
          </w:p>
        </w:tc>
      </w:tr>
      <w:tr>
        <w:trPr/>
        <w:tc>
          <w:tcPr>
            <w:tcW w:w="1480" w:type="dxa"/>
            <w:tcBorders/>
          </w:tcPr>
          <w:p>
            <w:pPr>
              <w:pStyle w:val="TableContents"/>
              <w:bidi w:val="0"/>
              <w:spacing w:before="0" w:after="283"/>
              <w:jc w:val="left"/>
              <w:rPr/>
            </w:pPr>
            <w:r>
              <w:rPr/>
              <w:t>Schedule 7.23</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Deposit, Disbursement and Investment Accounts</w:t>
            </w:r>
          </w:p>
        </w:tc>
      </w:tr>
      <w:tr>
        <w:trPr/>
        <w:tc>
          <w:tcPr>
            <w:tcW w:w="1480" w:type="dxa"/>
            <w:tcBorders/>
          </w:tcPr>
          <w:p>
            <w:pPr>
              <w:pStyle w:val="TableContents"/>
              <w:bidi w:val="0"/>
              <w:spacing w:before="0" w:after="283"/>
              <w:jc w:val="left"/>
              <w:rPr/>
            </w:pPr>
            <w:r>
              <w:rPr/>
              <w:t>Schedule 7.25</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Royalty and Other Payments</w:t>
            </w:r>
          </w:p>
        </w:tc>
      </w:tr>
      <w:tr>
        <w:trPr/>
        <w:tc>
          <w:tcPr>
            <w:tcW w:w="1480" w:type="dxa"/>
            <w:tcBorders/>
          </w:tcPr>
          <w:p>
            <w:pPr>
              <w:pStyle w:val="TableContents"/>
              <w:bidi w:val="0"/>
              <w:spacing w:before="0" w:after="283"/>
              <w:jc w:val="left"/>
              <w:rPr/>
            </w:pPr>
            <w:r>
              <w:rPr/>
              <w:t>Schedule 9.02</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Closing Date Liens</w:t>
            </w:r>
          </w:p>
        </w:tc>
      </w:tr>
      <w:tr>
        <w:trPr/>
        <w:tc>
          <w:tcPr>
            <w:tcW w:w="1480" w:type="dxa"/>
            <w:tcBorders/>
          </w:tcPr>
          <w:p>
            <w:pPr>
              <w:pStyle w:val="TableContents"/>
              <w:bidi w:val="0"/>
              <w:spacing w:before="0" w:after="283"/>
              <w:jc w:val="left"/>
              <w:rPr/>
            </w:pPr>
            <w:r>
              <w:rPr/>
              <w:t>Schedule 9.05</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Closing Date Investments</w:t>
            </w:r>
          </w:p>
        </w:tc>
      </w:tr>
      <w:tr>
        <w:trPr/>
        <w:tc>
          <w:tcPr>
            <w:tcW w:w="1480" w:type="dxa"/>
            <w:tcBorders/>
          </w:tcPr>
          <w:p>
            <w:pPr>
              <w:pStyle w:val="TableContents"/>
              <w:bidi w:val="0"/>
              <w:spacing w:before="0" w:after="283"/>
              <w:jc w:val="left"/>
              <w:rPr/>
            </w:pPr>
            <w:r>
              <w:rPr/>
              <w:t>Schedule 9.12(b)</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Excluded Agreements</w:t>
            </w:r>
          </w:p>
        </w:tc>
      </w:tr>
      <w:tr>
        <w:trPr/>
        <w:tc>
          <w:tcPr>
            <w:tcW w:w="1480" w:type="dxa"/>
            <w:tcBorders/>
          </w:tcPr>
          <w:p>
            <w:pPr>
              <w:pStyle w:val="TableContents"/>
              <w:bidi w:val="0"/>
              <w:spacing w:before="0" w:after="283"/>
              <w:jc w:val="left"/>
              <w:rPr/>
            </w:pPr>
            <w:r>
              <w:rPr/>
              <w:t>Schedule 9.13</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Permitted Sales and Leasebacks</w:t>
            </w:r>
          </w:p>
        </w:tc>
      </w:tr>
      <w:tr>
        <w:trPr>
          <w:trHeight w:val="240" w:hRule="atLeast"/>
        </w:trPr>
        <w:tc>
          <w:tcPr>
            <w:tcW w:w="1480" w:type="dxa"/>
            <w:tcBorders/>
            <w:vAlign w:val="center"/>
          </w:tcPr>
          <w:p>
            <w:pPr>
              <w:pStyle w:val="TableContents"/>
              <w:bidi w:val="0"/>
              <w:spacing w:before="0" w:after="283"/>
              <w:jc w:val="left"/>
              <w:rPr>
                <w:sz w:val="4"/>
                <w:szCs w:val="4"/>
              </w:rPr>
            </w:pPr>
            <w:r>
              <w:rPr>
                <w:sz w:val="4"/>
                <w:szCs w:val="4"/>
              </w:rPr>
            </w:r>
          </w:p>
        </w:tc>
        <w:tc>
          <w:tcPr>
            <w:tcW w:w="624" w:type="dxa"/>
            <w:gridSpan w:val="2"/>
            <w:tcBorders/>
            <w:vAlign w:val="center"/>
          </w:tcPr>
          <w:p>
            <w:pPr>
              <w:pStyle w:val="TableContents"/>
              <w:bidi w:val="0"/>
              <w:spacing w:before="0" w:after="283"/>
              <w:jc w:val="left"/>
              <w:rPr>
                <w:sz w:val="4"/>
                <w:szCs w:val="4"/>
              </w:rPr>
            </w:pPr>
            <w:r>
              <w:rPr>
                <w:sz w:val="4"/>
                <w:szCs w:val="4"/>
              </w:rPr>
            </w:r>
          </w:p>
        </w:tc>
        <w:tc>
          <w:tcPr>
            <w:tcW w:w="8101" w:type="dxa"/>
            <w:gridSpan w:val="2"/>
            <w:tcBorders/>
            <w:vAlign w:val="center"/>
          </w:tcPr>
          <w:p>
            <w:pPr>
              <w:pStyle w:val="TableContents"/>
              <w:bidi w:val="0"/>
              <w:spacing w:before="0" w:after="283"/>
              <w:jc w:val="left"/>
              <w:rPr>
                <w:sz w:val="4"/>
                <w:szCs w:val="4"/>
              </w:rPr>
            </w:pPr>
            <w:r>
              <w:rPr>
                <w:sz w:val="4"/>
                <w:szCs w:val="4"/>
              </w:rPr>
            </w:r>
          </w:p>
        </w:tc>
      </w:tr>
      <w:tr>
        <w:trPr/>
        <w:tc>
          <w:tcPr>
            <w:tcW w:w="1480" w:type="dxa"/>
            <w:tcBorders/>
          </w:tcPr>
          <w:p>
            <w:pPr>
              <w:pStyle w:val="TableContents"/>
              <w:bidi w:val="0"/>
              <w:spacing w:before="0" w:after="283"/>
              <w:jc w:val="left"/>
              <w:rPr/>
            </w:pPr>
            <w:r>
              <w:rPr/>
              <w:t>Exhibit A</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Notes Certificate</w:t>
            </w:r>
          </w:p>
        </w:tc>
      </w:tr>
      <w:tr>
        <w:trPr/>
        <w:tc>
          <w:tcPr>
            <w:tcW w:w="1480" w:type="dxa"/>
            <w:tcBorders/>
          </w:tcPr>
          <w:p>
            <w:pPr>
              <w:pStyle w:val="TableContents"/>
              <w:bidi w:val="0"/>
              <w:spacing w:before="0" w:after="283"/>
              <w:jc w:val="left"/>
              <w:rPr/>
            </w:pPr>
            <w:r>
              <w:rPr/>
              <w:t>Exhibit B</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Notes Subscription Request</w:t>
            </w:r>
          </w:p>
        </w:tc>
      </w:tr>
      <w:tr>
        <w:trPr/>
        <w:tc>
          <w:tcPr>
            <w:tcW w:w="1480" w:type="dxa"/>
            <w:tcBorders/>
          </w:tcPr>
          <w:p>
            <w:pPr>
              <w:pStyle w:val="TableContents"/>
              <w:bidi w:val="0"/>
              <w:spacing w:before="0" w:after="283"/>
              <w:jc w:val="left"/>
              <w:rPr/>
            </w:pPr>
            <w:r>
              <w:rPr/>
              <w:t>Exhibit C</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Guarantee Assumption Agreement</w:t>
            </w:r>
          </w:p>
        </w:tc>
      </w:tr>
      <w:tr>
        <w:trPr/>
        <w:tc>
          <w:tcPr>
            <w:tcW w:w="1480" w:type="dxa"/>
            <w:tcBorders/>
          </w:tcPr>
          <w:p>
            <w:pPr>
              <w:pStyle w:val="TableContents"/>
              <w:bidi w:val="0"/>
              <w:spacing w:before="0" w:after="283"/>
              <w:jc w:val="left"/>
              <w:rPr/>
            </w:pPr>
            <w:r>
              <w:rPr/>
              <w:t>Exhibit D</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Compliance Certificate</w:t>
            </w:r>
          </w:p>
        </w:tc>
      </w:tr>
      <w:tr>
        <w:trPr/>
        <w:tc>
          <w:tcPr>
            <w:tcW w:w="1480" w:type="dxa"/>
            <w:tcBorders/>
          </w:tcPr>
          <w:p>
            <w:pPr>
              <w:pStyle w:val="TableContents"/>
              <w:bidi w:val="0"/>
              <w:spacing w:before="0" w:after="283"/>
              <w:jc w:val="left"/>
              <w:rPr/>
            </w:pPr>
            <w:r>
              <w:rPr/>
              <w:t>Exhibit E</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Assignment and Assumption</w:t>
            </w:r>
          </w:p>
        </w:tc>
      </w:tr>
      <w:tr>
        <w:trPr/>
        <w:tc>
          <w:tcPr>
            <w:tcW w:w="1480" w:type="dxa"/>
            <w:tcBorders/>
          </w:tcPr>
          <w:p>
            <w:pPr>
              <w:pStyle w:val="TableContents"/>
              <w:bidi w:val="0"/>
              <w:spacing w:before="0" w:after="283"/>
              <w:jc w:val="left"/>
              <w:rPr/>
            </w:pPr>
            <w:r>
              <w:rPr/>
              <w:t>Exhibit F</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Information Certificate</w:t>
            </w:r>
          </w:p>
        </w:tc>
      </w:tr>
      <w:tr>
        <w:trPr/>
        <w:tc>
          <w:tcPr>
            <w:tcW w:w="1480" w:type="dxa"/>
            <w:tcBorders/>
          </w:tcPr>
          <w:p>
            <w:pPr>
              <w:pStyle w:val="TableContents"/>
              <w:bidi w:val="0"/>
              <w:spacing w:before="0" w:after="283"/>
              <w:jc w:val="left"/>
              <w:rPr/>
            </w:pPr>
            <w:r>
              <w:rPr/>
              <w:t>Exhibit G</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Intercompany Subordination Agreement</w:t>
            </w:r>
          </w:p>
        </w:tc>
      </w:tr>
      <w:tr>
        <w:trPr/>
        <w:tc>
          <w:tcPr>
            <w:tcW w:w="1480" w:type="dxa"/>
            <w:tcBorders/>
          </w:tcPr>
          <w:p>
            <w:pPr>
              <w:pStyle w:val="TableContents"/>
              <w:bidi w:val="0"/>
              <w:spacing w:before="0" w:after="283"/>
              <w:jc w:val="left"/>
              <w:rPr/>
            </w:pPr>
            <w:r>
              <w:rPr/>
              <w:t>Exhibit H</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Solvency Certificate</w:t>
            </w:r>
          </w:p>
        </w:tc>
      </w:tr>
      <w:tr>
        <w:trPr/>
        <w:tc>
          <w:tcPr>
            <w:tcW w:w="1480" w:type="dxa"/>
            <w:tcBorders/>
          </w:tcPr>
          <w:p>
            <w:pPr>
              <w:pStyle w:val="TableContents"/>
              <w:bidi w:val="0"/>
              <w:spacing w:before="0" w:after="283"/>
              <w:jc w:val="left"/>
              <w:rPr/>
            </w:pPr>
            <w:r>
              <w:rPr/>
              <w:t>Exhibit I</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Warrant Certificate</w:t>
            </w:r>
          </w:p>
        </w:tc>
      </w:tr>
      <w:tr>
        <w:trPr/>
        <w:tc>
          <w:tcPr>
            <w:tcW w:w="1480" w:type="dxa"/>
            <w:tcBorders/>
          </w:tcPr>
          <w:p>
            <w:pPr>
              <w:pStyle w:val="TableContents"/>
              <w:bidi w:val="0"/>
              <w:spacing w:before="0" w:after="283"/>
              <w:jc w:val="left"/>
              <w:rPr/>
            </w:pPr>
            <w:r>
              <w:rPr/>
              <w:t>Exhibit J</w:t>
            </w:r>
          </w:p>
        </w:tc>
        <w:tc>
          <w:tcPr>
            <w:tcW w:w="316"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w:t>
            </w:r>
          </w:p>
        </w:tc>
        <w:tc>
          <w:tcPr>
            <w:tcW w:w="316" w:type="dxa"/>
            <w:tcBorders/>
            <w:vAlign w:val="bottom"/>
          </w:tcPr>
          <w:p>
            <w:pPr>
              <w:pStyle w:val="TableContents"/>
              <w:bidi w:val="0"/>
              <w:spacing w:before="0" w:after="283"/>
              <w:jc w:val="left"/>
              <w:rPr/>
            </w:pPr>
            <w:r>
              <w:rPr/>
              <w:t>  </w:t>
            </w:r>
          </w:p>
        </w:tc>
        <w:tc>
          <w:tcPr>
            <w:tcW w:w="7785" w:type="dxa"/>
            <w:tcBorders/>
          </w:tcPr>
          <w:p>
            <w:pPr>
              <w:pStyle w:val="TableContents"/>
              <w:bidi w:val="0"/>
              <w:spacing w:before="0" w:after="283"/>
              <w:jc w:val="left"/>
              <w:rPr/>
            </w:pPr>
            <w:r>
              <w:rPr/>
              <w:t>Form of Liquidity Certificate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NOTE PURCHASE AGREEMENT AND GUARANTY </w:t>
      </w:r>
    </w:p>
    <w:p>
      <w:pPr>
        <w:pStyle w:val="TextBody"/>
        <w:bidi w:val="0"/>
        <w:spacing w:before="240" w:after="0"/>
        <w:jc w:val="left"/>
        <w:rPr>
          <w:rFonts w:ascii="Times New Roman" w:hAnsi="Times New Roman"/>
          <w:sz w:val="20"/>
        </w:rPr>
      </w:pPr>
      <w:r>
        <w:rPr>
          <w:rFonts w:ascii="Times New Roman" w:hAnsi="Times New Roman"/>
          <w:sz w:val="20"/>
        </w:rPr>
        <w:t>NOTE PURCHASE AGREEMENT AND GUARANTY, dated as of July 30, 2026 (this “</w:t>
      </w:r>
      <w:r>
        <w:rPr>
          <w:rFonts w:ascii="Times New Roman" w:hAnsi="Times New Roman"/>
          <w:b/>
          <w:i/>
          <w:sz w:val="20"/>
        </w:rPr>
        <w:t>Agreement</w:t>
      </w:r>
      <w:r>
        <w:rPr>
          <w:rFonts w:ascii="Times New Roman" w:hAnsi="Times New Roman"/>
          <w:sz w:val="20"/>
        </w:rPr>
        <w:t>”), by and among Autolus Therapeutics plc, a public limited company organized under the laws of England and Wales with registration number 11185179 (the “</w:t>
      </w:r>
      <w:r>
        <w:rPr>
          <w:rFonts w:ascii="Times New Roman" w:hAnsi="Times New Roman"/>
          <w:b/>
          <w:i/>
          <w:sz w:val="20"/>
        </w:rPr>
        <w:t>Issuer</w:t>
      </w:r>
      <w:r>
        <w:rPr>
          <w:rFonts w:ascii="Times New Roman" w:hAnsi="Times New Roman"/>
          <w:sz w:val="20"/>
        </w:rPr>
        <w:t>”), Autolus Holdings (UK) Limited, a private limited company organized under the laws of England and Wales with registration number 11365111 (“</w:t>
      </w:r>
      <w:r>
        <w:rPr>
          <w:rFonts w:ascii="Times New Roman" w:hAnsi="Times New Roman"/>
          <w:b/>
          <w:i/>
          <w:sz w:val="20"/>
        </w:rPr>
        <w:t>Intermediate Holdings</w:t>
      </w:r>
      <w:r>
        <w:rPr>
          <w:rFonts w:ascii="Times New Roman" w:hAnsi="Times New Roman"/>
          <w:sz w:val="20"/>
        </w:rPr>
        <w:t>”), Autolus Limited, a private limited company organized under the laws of England and Wales with registration number 09115837 (“</w:t>
      </w:r>
      <w:r>
        <w:rPr>
          <w:rFonts w:ascii="Times New Roman" w:hAnsi="Times New Roman"/>
          <w:b/>
          <w:i/>
          <w:sz w:val="20"/>
        </w:rPr>
        <w:t>Autolus Limited</w:t>
      </w:r>
      <w:r>
        <w:rPr>
          <w:rFonts w:ascii="Times New Roman" w:hAnsi="Times New Roman"/>
          <w:sz w:val="20"/>
        </w:rPr>
        <w:t>”), certain other Subsidiaries of the Issuer required to provide Guarantees from time to time hereunder, each noteholder from time to time party hereto (each, together with their permitted successors and assigns, a “</w:t>
      </w:r>
      <w:r>
        <w:rPr>
          <w:rFonts w:ascii="Times New Roman" w:hAnsi="Times New Roman"/>
          <w:b/>
          <w:i/>
          <w:sz w:val="20"/>
        </w:rPr>
        <w:t>Noteholder</w:t>
      </w:r>
      <w:r>
        <w:rPr>
          <w:rFonts w:ascii="Times New Roman" w:hAnsi="Times New Roman"/>
          <w:sz w:val="20"/>
        </w:rPr>
        <w:t>” and collectively, the “</w:t>
      </w:r>
      <w:r>
        <w:rPr>
          <w:rFonts w:ascii="Times New Roman" w:hAnsi="Times New Roman"/>
          <w:b/>
          <w:i/>
          <w:sz w:val="20"/>
        </w:rPr>
        <w:t>Noteholders</w:t>
      </w:r>
      <w:r>
        <w:rPr>
          <w:rFonts w:ascii="Times New Roman" w:hAnsi="Times New Roman"/>
          <w:sz w:val="20"/>
        </w:rPr>
        <w:t>”), and Perceptive Credit Holdings V, LP, as administrative agent for the Noteholders (in such capacity, together with its permitted successors and assigns, the “</w:t>
      </w:r>
      <w:r>
        <w:rPr>
          <w:rFonts w:ascii="Times New Roman" w:hAnsi="Times New Roman"/>
          <w:b/>
          <w:i/>
          <w:sz w:val="20"/>
        </w:rPr>
        <w:t>Administrative Agent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proposed to sell to the Noteholders, and subject to the terms and conditions herein, the Noteholders have agreed to purchase: (i) as of the Closing Date, first lien secured notes in the form of Tranche 1 Notes, in an aggregate principal amount not to exceed $75,000,000, (ii) first lien secured notes in the form of Tranche 2 Notes, in an aggregate principal amount not to exceed $25,000,000, (iii) first lien secured notes in the form of Tranche 3 Notes, in an aggregate principal amount not to exceed $75,000,000, and (iv) first lien secured notes in the form of Tranche 4 Notes, in an aggregate principal amount not to exceed $75,000,000;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agreed to secure all of its Obligations by granting to Administrative Agent, for the benefit of Secured Parties, a Lien on substantially all of its assets, including a pledge of all of the Equity Interests of each of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Guarantors have agreed to guarantee the obligations of the Issuer and each other Guarantor hereunder and to secure their respective Obligations by granting to Administrative Agent, for the benefit of Secured Parties, a Lien on all of their respective assets, including a pledge of all of the Equity Interests of each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rPr>
        <w:t>Certain Defined Terms</w:t>
      </w:r>
      <w:r>
        <w:rPr>
          <w:rFonts w:ascii="Times New Roman" w:hAnsi="Times New Roman"/>
          <w:sz w:val="20"/>
        </w:rPr>
        <w:t xml:space="preserve">. As used herein (including the preamble and recitals), the following terms have the following respective meanings: </w:t>
      </w:r>
    </w:p>
    <w:p>
      <w:pPr>
        <w:pStyle w:val="TextBody"/>
        <w:bidi w:val="0"/>
        <w:spacing w:before="120" w:after="0"/>
        <w:jc w:val="left"/>
        <w:rPr/>
      </w:pPr>
      <w:r>
        <w:rPr/>
        <w:t>“</w:t>
      </w:r>
      <w:r>
        <w:rPr>
          <w:rFonts w:ascii="Times New Roman" w:hAnsi="Times New Roman"/>
          <w:b/>
          <w:i/>
          <w:sz w:val="20"/>
        </w:rPr>
        <w:t>Acquisition</w:t>
      </w:r>
      <w:r>
        <w:rPr>
          <w:rFonts w:ascii="Times New Roman" w:hAnsi="Times New Roman"/>
          <w:sz w:val="20"/>
        </w:rPr>
        <w:t xml:space="preserve">” means any transaction, or any series of related transactions, by which any Person directly or indirectly, by means of an amalgamation, consolidation, merger, tender offer, purchase of Equity Interests or other assets or properties, or similar transaction having the same effect as any of the foregoing, (a) acquires all or substantially all of the assets of another Person including all or substantially all of a business line, business unit or business division of any other Person (including via licensing and in-licensing), (b) acquires control of Equity Interests of another Person representing more than fifty percent (50%) of the ordinary voting power (as determined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fully-diluted, as-if-converted or exercised basis) for the election of directors or other governing body if the business affairs of such Person are managed by a Board of directors, (c) acquires control of more than fifty percent (50%) of the Equity Interests (as determined on a fully-diluted, as-if-converted or exercised basis) of another Person engaged in any business that is not managed by a Board, or (d) a merger, amalgamation, division or consolidation or any other combination with another Person (including as a result of an exclusive license of assets or otherwise). </w:t>
      </w:r>
    </w:p>
    <w:p>
      <w:pPr>
        <w:pStyle w:val="TextBody"/>
        <w:bidi w:val="0"/>
        <w:spacing w:before="240" w:after="0"/>
        <w:jc w:val="left"/>
        <w:rPr/>
      </w:pPr>
      <w:r>
        <w:rPr/>
        <w:t>“</w:t>
      </w:r>
      <w:r>
        <w:rPr>
          <w:rFonts w:ascii="Times New Roman" w:hAnsi="Times New Roman"/>
          <w:b/>
          <w:i/>
          <w:sz w:val="20"/>
        </w:rPr>
        <w:t>Administrative Agent</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Adverse Regulatory Event</w:t>
      </w:r>
      <w:r>
        <w:rPr>
          <w:rFonts w:ascii="Times New Roman" w:hAnsi="Times New Roman"/>
          <w:sz w:val="20"/>
        </w:rPr>
        <w:t xml:space="preserve">” means the occurrence of any of the following events or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the failure of the Issuer or any of its Subsidiaries to hold, directly or through licensees or agents, in full force and effect, all Product Authorizations required by applicable Law for the Issuer or any Subsidiary to conduct its Product Commercialization and Development Activities as currently conducted and as currently anticipated to be conducted; </w:t>
      </w:r>
    </w:p>
    <w:p>
      <w:pPr>
        <w:pStyle w:val="TextBody"/>
        <w:bidi w:val="0"/>
        <w:spacing w:before="120" w:after="0"/>
        <w:jc w:val="left"/>
        <w:rPr>
          <w:rFonts w:ascii="Times New Roman" w:hAnsi="Times New Roman"/>
          <w:sz w:val="20"/>
        </w:rPr>
      </w:pPr>
      <w:r>
        <w:rPr>
          <w:rFonts w:ascii="Times New Roman" w:hAnsi="Times New Roman"/>
          <w:sz w:val="20"/>
        </w:rPr>
        <w:t xml:space="preserve">(b) the failure of the Issuer or any of its Subsidiaries to make or file with the FDA or any other applicable Regulatory Authority having regulatory oversight with respect to the Product Commercialization and Development Activities of the Issuer and its Subsidiaries, in compliance with such applicable Law, any required report, registration, listing, application, or similar document, instrument or notice; </w:t>
      </w:r>
    </w:p>
    <w:p>
      <w:pPr>
        <w:pStyle w:val="TextBody"/>
        <w:bidi w:val="0"/>
        <w:spacing w:before="120" w:after="0"/>
        <w:jc w:val="left"/>
        <w:rPr>
          <w:rFonts w:ascii="Times New Roman" w:hAnsi="Times New Roman"/>
          <w:sz w:val="20"/>
        </w:rPr>
      </w:pPr>
      <w:r>
        <w:rPr>
          <w:rFonts w:ascii="Times New Roman" w:hAnsi="Times New Roman"/>
          <w:sz w:val="20"/>
        </w:rPr>
        <w:t>(c) in connection with any clinical, preclinical, safety or other studies or tests being conducted by (or on behalf of) the Issuer or any of its Subsidiaries for purposes of obtaining any Product Authorizations for any Product or any Product Commercialization and Development Activities, (i) the failure of any clinical, pre-clinical, safety or other required trial, study or test to be conducted in material compliance with any applicable Law or Product Authorization; (ii) the failure of any related clinical trial site to be monitored by the Issuer or any of its Subsidiaries in material compliance with all applicable Laws and Product Authorizations; or (iii) the receipt by the Issuer or any of its Subsidiaries of written notice from the FDA or any other Regulatory Authority or an institutional review board having regulatory oversight of the Issuer or any of its Subsidiaries, which notice requires the termination or suspension of any such clinical, preclinical, safety or other study or test (other than where the termination or suspension of such study is voluntarily initiated by the Issuer or any of its Subsidiaries and such study is reasonably expected to resume or an amended protocol is agreed with the relevant Regulatory Authority);</w:t>
      </w:r>
    </w:p>
    <w:p>
      <w:pPr>
        <w:pStyle w:val="TextBody"/>
        <w:bidi w:val="0"/>
        <w:spacing w:before="120" w:after="0"/>
        <w:jc w:val="left"/>
        <w:rPr>
          <w:rFonts w:ascii="Times New Roman" w:hAnsi="Times New Roman"/>
          <w:sz w:val="20"/>
        </w:rPr>
      </w:pPr>
      <w:r>
        <w:rPr>
          <w:rFonts w:ascii="Times New Roman" w:hAnsi="Times New Roman"/>
          <w:sz w:val="20"/>
        </w:rPr>
        <w:t xml:space="preserve">(d) the Issuer or any of its Subsidiaries or, to the knowledge of the Issuer, any agent, supplier, licensor or licensee of the Issuer or any of its Subsidiaries, receives from the FDA or any other Regulatory Authority having regulatory oversight of the Issuer or any of its Subsidiaries any warning letter or other written notice (other than routine inspection findings, pharmacovigilance queries, information requests, or preliminary or informal regulatory communications) with respect to any Product or any Product Commercialization and Development Activities asserting (i) that such Person lacks a Product Authorization required by applicable Law with respect to such Product or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Commercialization and Development Activities, (ii) a lack of compliance by such Person with any applicable Laws or Product Authorizations (or any similar order, injunction or decree) or (iii) that the FDA or such other Regulatory Authority, as the case may be, has commenced any regulatory action, investigation or inquiry (other than routine or periodic inspections or reviews, including any scheduled annual review, renewal assessment, or periodic safety update process under the Product Authorizations) with respect to any Product or any Product Commercialization and Development Activities; or </w:t>
      </w:r>
    </w:p>
    <w:p>
      <w:pPr>
        <w:pStyle w:val="TextBody"/>
        <w:bidi w:val="0"/>
        <w:spacing w:before="120" w:after="0"/>
        <w:jc w:val="left"/>
        <w:rPr>
          <w:rFonts w:ascii="Times New Roman" w:hAnsi="Times New Roman"/>
          <w:sz w:val="20"/>
        </w:rPr>
      </w:pPr>
      <w:r>
        <w:rPr>
          <w:rFonts w:ascii="Times New Roman" w:hAnsi="Times New Roman"/>
          <w:sz w:val="20"/>
        </w:rPr>
        <w:t xml:space="preserve">(e) with respect to any Product or Product Commercialization and Development Activities, (i) any product recall, safety alert, correction, withdrawal, marketing suspension or removal, or any closure or suspension of any related manufacturing “facility or operation occurs, in each case whether voluntary or involuntary, is mandated, conducted, undertaken or issued, as the case may be, at the request, demand or order of the FDA or any other any Regulatory Authority having regulatory oversight of the Issuer or any of its Subsidiaries, or through the voluntary action of the Issuer or any of its Subsidiaries in response to any such request, demand or order, (ii) the FDA or any other Regulatory Authority having regulatory oversight of the Issuer or any of its Subsidiaries commences any criminal, injunctive, seizure, detention or civil penalty action or (iii) the Issuer or any of its Subsidiaries enters into any consent decree, plea agreement or other settlement with the FDA any Regulatory Authority having regulatory oversight of the Issuer or any of its Subsidiaries with respect to any of the foregoing. </w:t>
      </w:r>
    </w:p>
    <w:p>
      <w:pPr>
        <w:pStyle w:val="TextBody"/>
        <w:bidi w:val="0"/>
        <w:spacing w:before="240" w:after="0"/>
        <w:jc w:val="left"/>
        <w:rPr/>
      </w:pPr>
      <w:r>
        <w:rPr/>
        <w:t>“</w:t>
      </w:r>
      <w:r>
        <w:rPr>
          <w:rFonts w:ascii="Times New Roman" w:hAnsi="Times New Roman"/>
          <w:b/>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Person specified; </w:t>
      </w:r>
      <w:r>
        <w:rPr>
          <w:rFonts w:ascii="Times New Roman" w:hAnsi="Times New Roman"/>
          <w:sz w:val="20"/>
          <w:u w:val="single"/>
        </w:rPr>
        <w:t>provided</w:t>
      </w:r>
      <w:r>
        <w:rPr>
          <w:rFonts w:ascii="Times New Roman" w:hAnsi="Times New Roman"/>
          <w:sz w:val="20"/>
        </w:rPr>
        <w:t xml:space="preserve"> that with respect to any Noteholder, an Affiliate of such Noteholder shall include, without limitation, all of such Noteholder’s Related Funds so long as such entities are Controlled by such Noteholder.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American Depositary Shares</w:t>
      </w:r>
      <w:r>
        <w:rPr>
          <w:rFonts w:ascii="Times New Roman" w:hAnsi="Times New Roman"/>
          <w:sz w:val="20"/>
        </w:rPr>
        <w:t xml:space="preserve">” means the Issuer’s American depositary shares listed on NASDAQ, each representing one ordinary share, nominal value of $0.000042 per share. </w:t>
      </w:r>
    </w:p>
    <w:p>
      <w:pPr>
        <w:pStyle w:val="TextBody"/>
        <w:bidi w:val="0"/>
        <w:spacing w:before="240" w:after="0"/>
        <w:jc w:val="left"/>
        <w:rPr/>
      </w:pPr>
      <w:r>
        <w:rPr/>
        <w:t>“</w:t>
      </w:r>
      <w:r>
        <w:rPr>
          <w:rFonts w:ascii="Times New Roman" w:hAnsi="Times New Roman"/>
          <w:b/>
          <w:i/>
          <w:sz w:val="20"/>
        </w:rPr>
        <w:t>Anti-Terrorism Laws</w:t>
      </w:r>
      <w:r>
        <w:rPr>
          <w:rFonts w:ascii="Times New Roman" w:hAnsi="Times New Roman"/>
          <w:sz w:val="20"/>
        </w:rPr>
        <w:t xml:space="preserve">” means any laws relating to terrorism or money laundering, including, (a) the Money Laundering Control Act of 1986 (e.g., 18 U.S.C. §§ 1956 and 1957), (b) the Bank Secrecy Act of 1970 (e.g., 31 U.S.C. §§ 5311 – 5330), as amended by the Patriot Act, (c) the laws, regulations and Executive Orders administered by OFAC, (d) the Comprehensive Iran Sanctions, Accountability, and Divestment Act of 2010 and implementing regulations by the United States Department of the Treasury, (e) any law prohibiting or directed against terrorist activities or the financing of terrorist activities (e.g., 18 U.S.C. §§ 2339A and 2339B), (f) the UK Terrorism Act 2000, (g) the UK Proceeds of Crime Act 2002, or (h) any similar laws enacted in the United States, the United Kingdom, the European Union, or any other jurisdictions in which the parties to this agreement operate, and all other present and future legal requirements of any Governmental Authority governing, addressing, relating to, or attempting to eliminate, terrorist acts and acts of war.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Applicable Margin</w:t>
      </w:r>
      <w:r>
        <w:rPr>
          <w:rFonts w:ascii="Times New Roman" w:hAnsi="Times New Roman"/>
          <w:sz w:val="20"/>
        </w:rPr>
        <w:t xml:space="preserve">” means, in each case as such percentage may be increased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Closing Date to the last day of the Interest Period during which the Issuer delivers a written notice (such notice to be delivered in the Compliance Certificate for such fiscal quarter as set forth in </w:t>
      </w:r>
      <w:r>
        <w:rPr>
          <w:rFonts w:ascii="Times New Roman" w:hAnsi="Times New Roman"/>
          <w:sz w:val="20"/>
          <w:u w:val="single"/>
        </w:rPr>
        <w:t>Section 8.01(c)</w:t>
      </w:r>
      <w:r>
        <w:rPr>
          <w:rFonts w:ascii="Times New Roman" w:hAnsi="Times New Roman"/>
          <w:sz w:val="20"/>
        </w:rPr>
        <w:t xml:space="preserve"> or by separate notice to be delivered at least 5 Business Days prior to the expiration of any Interest Period) to the Administrative Agent certifying achievement of Consolidated Net Revenue of at least $[***] for the most recently ended trailing twelve (12) consecutive month period (the date of achievement of such milestone, the “</w:t>
      </w:r>
      <w:r>
        <w:rPr>
          <w:rFonts w:ascii="Times New Roman" w:hAnsi="Times New Roman"/>
          <w:b/>
          <w:i/>
          <w:sz w:val="20"/>
        </w:rPr>
        <w:t>First Interest Step Down Date</w:t>
      </w:r>
      <w:r>
        <w:rPr>
          <w:rFonts w:ascii="Times New Roman" w:hAnsi="Times New Roman"/>
          <w:sz w:val="20"/>
        </w:rPr>
        <w:t>”), and referencing copies of the financial statements delivered pursuant to Section </w:t>
      </w:r>
      <w:r>
        <w:rPr>
          <w:rFonts w:ascii="Times New Roman" w:hAnsi="Times New Roman"/>
          <w:sz w:val="20"/>
          <w:u w:val="single"/>
        </w:rPr>
        <w:t>8.01(a)(i)</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attaching such other evidence reasonably acceptable to the Administrative Agent, in each case supporting such calculation), seven and one-quarter percent (7.25%); </w:t>
      </w:r>
    </w:p>
    <w:p>
      <w:pPr>
        <w:pStyle w:val="TextBody"/>
        <w:bidi w:val="0"/>
        <w:spacing w:before="120" w:after="0"/>
        <w:jc w:val="left"/>
        <w:rPr>
          <w:rFonts w:ascii="Times New Roman" w:hAnsi="Times New Roman"/>
          <w:sz w:val="20"/>
        </w:rPr>
      </w:pPr>
      <w:r>
        <w:rPr>
          <w:rFonts w:ascii="Times New Roman" w:hAnsi="Times New Roman"/>
          <w:sz w:val="20"/>
        </w:rPr>
        <w:t xml:space="preserve">(b) from the first day of the Interest Period beginning immediately after the First Interest Step Down Date to the last day of the Interest Period during which the Issuer delivers a written notice (such notice to be delivered in the Compliance Certificate for such fiscal quarter as set forth in </w:t>
      </w:r>
      <w:r>
        <w:rPr>
          <w:rFonts w:ascii="Times New Roman" w:hAnsi="Times New Roman"/>
          <w:sz w:val="20"/>
          <w:u w:val="single"/>
        </w:rPr>
        <w:t>Section 8.01(c)</w:t>
      </w:r>
      <w:r>
        <w:rPr>
          <w:rFonts w:ascii="Times New Roman" w:hAnsi="Times New Roman"/>
          <w:sz w:val="20"/>
        </w:rPr>
        <w:t xml:space="preserve"> or by separate notice to be delivered at least 5 Business Days prior to the expiration of any Interest Period) to the Administrative Agent certifying achievement of Consolidated Net Revenue of at least $[***] for the most recently ended trailing twelve (12) consecutive month period (the date of achievement of such milestone, the “</w:t>
      </w:r>
      <w:r>
        <w:rPr>
          <w:rFonts w:ascii="Times New Roman" w:hAnsi="Times New Roman"/>
          <w:b/>
          <w:i/>
          <w:sz w:val="20"/>
        </w:rPr>
        <w:t>Second Interest Step Down Date</w:t>
      </w:r>
      <w:r>
        <w:rPr>
          <w:rFonts w:ascii="Times New Roman" w:hAnsi="Times New Roman"/>
          <w:sz w:val="20"/>
        </w:rPr>
        <w:t>”), and referencing copies of the financial statements delivered pursuant to Section </w:t>
      </w:r>
      <w:r>
        <w:rPr>
          <w:rFonts w:ascii="Times New Roman" w:hAnsi="Times New Roman"/>
          <w:sz w:val="20"/>
          <w:u w:val="single"/>
        </w:rPr>
        <w:t>8.01(a)(i)</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attaching such other evidence reasonably acceptable to the Administrative Agent, in each case supporting such calculation), seven percent (7.00%); and </w:t>
      </w:r>
    </w:p>
    <w:p>
      <w:pPr>
        <w:pStyle w:val="TextBody"/>
        <w:bidi w:val="0"/>
        <w:spacing w:before="120" w:after="0"/>
        <w:jc w:val="left"/>
        <w:rPr>
          <w:rFonts w:ascii="Times New Roman" w:hAnsi="Times New Roman"/>
          <w:sz w:val="20"/>
        </w:rPr>
      </w:pPr>
      <w:r>
        <w:rPr>
          <w:rFonts w:ascii="Times New Roman" w:hAnsi="Times New Roman"/>
          <w:sz w:val="20"/>
        </w:rPr>
        <w:t xml:space="preserve">(c) from the first day of the Interest Period beginning immediately after the Second Interest Step Down Date and thereafter, six and three-quarters percent (6.75%). </w:t>
      </w:r>
    </w:p>
    <w:p>
      <w:pPr>
        <w:pStyle w:val="TextBody"/>
        <w:bidi w:val="0"/>
        <w:spacing w:before="240" w:after="0"/>
        <w:jc w:val="left"/>
        <w:rPr/>
      </w:pPr>
      <w:r>
        <w:rPr/>
        <w:t>“</w:t>
      </w:r>
      <w:r>
        <w:rPr>
          <w:rFonts w:ascii="Times New Roman" w:hAnsi="Times New Roman"/>
          <w:b/>
          <w:i/>
          <w:sz w:val="20"/>
        </w:rPr>
        <w:t>Asset Sale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Assignment and Assumption</w:t>
      </w:r>
      <w:r>
        <w:rPr>
          <w:rFonts w:ascii="Times New Roman" w:hAnsi="Times New Roman"/>
          <w:sz w:val="20"/>
        </w:rPr>
        <w:t xml:space="preserve">” means an assignment and assumption entered into by a Noteholder and an assignee of such Noteholder in substantially the form of </w:t>
      </w:r>
      <w:r>
        <w:rPr>
          <w:rFonts w:ascii="Times New Roman" w:hAnsi="Times New Roman"/>
          <w:b/>
          <w:sz w:val="20"/>
        </w:rPr>
        <w:t>Exhibit 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Auditors’ Determination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Authorisation</w:t>
      </w:r>
      <w:r>
        <w:rPr>
          <w:rFonts w:ascii="Times New Roman" w:hAnsi="Times New Roman"/>
          <w:sz w:val="20"/>
        </w:rPr>
        <w:t xml:space="preserve">” means an authorisation, consent, approval, resolution, licence, exemption, filing, notarisation, certificate or registration. </w:t>
      </w:r>
    </w:p>
    <w:p>
      <w:pPr>
        <w:pStyle w:val="TextBody"/>
        <w:bidi w:val="0"/>
        <w:spacing w:before="240" w:after="0"/>
        <w:jc w:val="left"/>
        <w:rPr/>
      </w:pPr>
      <w:r>
        <w:rPr/>
        <w:t>“</w:t>
      </w:r>
      <w:r>
        <w:rPr>
          <w:rFonts w:ascii="Times New Roman" w:hAnsi="Times New Roman"/>
          <w:b/>
          <w:i/>
          <w:sz w:val="20"/>
        </w:rPr>
        <w:t>Autolus Limited</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i/>
          <w:sz w:val="20"/>
        </w:rPr>
        <w:t>Bank Levy</w:t>
      </w:r>
      <w:r>
        <w:rPr>
          <w:rFonts w:ascii="Times New Roman" w:hAnsi="Times New Roman"/>
          <w:sz w:val="20"/>
        </w:rPr>
        <w:t xml:space="preserve">” means any Tax which is calculated on the basis of, or in relation to, a Recipient or its Affiliates’ balance sheet or capital base or any part of that person’s liabilities or minimum regulatory capital (or any combination thereof). </w:t>
      </w:r>
    </w:p>
    <w:p>
      <w:pPr>
        <w:pStyle w:val="TextBody"/>
        <w:bidi w:val="0"/>
        <w:spacing w:before="240" w:after="0"/>
        <w:jc w:val="left"/>
        <w:rPr/>
      </w:pPr>
      <w:r>
        <w:rPr/>
        <w:t>“</w:t>
      </w:r>
      <w:r>
        <w:rPr>
          <w:rFonts w:ascii="Times New Roman" w:hAnsi="Times New Roman"/>
          <w:b/>
          <w:i/>
          <w:sz w:val="20"/>
        </w:rPr>
        <w:t>Bankruptcy Code</w:t>
      </w:r>
      <w:r>
        <w:rPr>
          <w:rFonts w:ascii="Times New Roman" w:hAnsi="Times New Roman"/>
          <w:sz w:val="20"/>
        </w:rPr>
        <w:t xml:space="preserve">” means Title 11 of the United States Code entitled “Bankruptcy.” </w:t>
      </w:r>
    </w:p>
    <w:p>
      <w:pPr>
        <w:pStyle w:val="TextBody"/>
        <w:bidi w:val="0"/>
        <w:spacing w:before="240" w:after="0"/>
        <w:jc w:val="left"/>
        <w:rPr/>
      </w:pPr>
      <w:r>
        <w:rPr/>
        <w:t>“</w:t>
      </w:r>
      <w:r>
        <w:rPr>
          <w:rFonts w:ascii="Times New Roman" w:hAnsi="Times New Roman"/>
          <w:b/>
          <w:i/>
          <w:sz w:val="20"/>
        </w:rPr>
        <w:t>Beneficial Ownership Certification</w:t>
      </w:r>
      <w:r>
        <w:rPr>
          <w:rFonts w:ascii="Times New Roman" w:hAnsi="Times New Roman"/>
          <w:sz w:val="20"/>
        </w:rPr>
        <w:t xml:space="preserve">” means a certification regarding beneficial ownership as required by the Beneficial Ownership Regulation. </w:t>
      </w:r>
    </w:p>
    <w:p>
      <w:pPr>
        <w:pStyle w:val="TextBody"/>
        <w:bidi w:val="0"/>
        <w:spacing w:before="240" w:after="0"/>
        <w:jc w:val="left"/>
        <w:rPr/>
      </w:pPr>
      <w:r>
        <w:rPr/>
        <w:t>“</w:t>
      </w:r>
      <w:r>
        <w:rPr>
          <w:rFonts w:ascii="Times New Roman" w:hAnsi="Times New Roman"/>
          <w:b/>
          <w:i/>
          <w:sz w:val="20"/>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b/>
          <w:i/>
          <w:sz w:val="20"/>
        </w:rPr>
        <w:t>Benefit Plan</w:t>
      </w:r>
      <w:r>
        <w:rPr>
          <w:rFonts w:ascii="Times New Roman" w:hAnsi="Times New Roman"/>
          <w:sz w:val="20"/>
        </w:rPr>
        <w:t xml:space="preserve">” means any employee benefit plan as defined in Section 3(3) of ERISA (whether governed by the laws of the United States or otherwise) to which any Obligor or Subsidiary thereof incurs or otherwise has any obligation or liability, contingent or otherwise. </w:t>
      </w:r>
    </w:p>
    <w:p>
      <w:pPr>
        <w:pStyle w:val="TextBody"/>
        <w:bidi w:val="0"/>
        <w:spacing w:before="240" w:after="0"/>
        <w:jc w:val="left"/>
        <w:rPr/>
      </w:pPr>
      <w:r>
        <w:rPr/>
        <w:t>“</w:t>
      </w:r>
      <w:r>
        <w:rPr>
          <w:rFonts w:ascii="Times New Roman" w:hAnsi="Times New Roman"/>
          <w:b/>
          <w:i/>
          <w:sz w:val="20"/>
        </w:rPr>
        <w:t>BioNTech License Agreement</w:t>
      </w:r>
      <w:r>
        <w:rPr>
          <w:rFonts w:ascii="Times New Roman" w:hAnsi="Times New Roman"/>
          <w:sz w:val="20"/>
        </w:rPr>
        <w:t xml:space="preserve">” means that certain License and Option Agreement, dated as of February 6, 2024, by and among Autolus Limited, Intermediate Holdings, and BioNTech SE, as in effect on the date hereof and as amended, amended and restated, supplemented and otherwise modified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Blackstone Collaboration Agreement</w:t>
      </w:r>
      <w:r>
        <w:rPr>
          <w:rFonts w:ascii="Times New Roman" w:hAnsi="Times New Roman"/>
          <w:sz w:val="20"/>
        </w:rPr>
        <w:t xml:space="preserve">” means that certain Collaboration and Financing Agreement, made effective as of November 6, 2021, by and between BXLS V – Autobahn L.P., a Delaware limited partnership and Autolus Limited as in effect on the date hereof and as amended, amended and restated, supplemented and otherwise modified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means, with respect to any Person, the board of directors (or equivalent management or oversight body) of such Person or any committee thereof duly authorized to act on behalf of such board or equivalent body.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 day (other than a Saturday, Sunday or other day that is a legal holiday under the laws of the State of New York, or under the laws of England) on which commercial banks are not authorized or required by Law to close in New York, New York and in London, England. </w:t>
      </w:r>
    </w:p>
    <w:p>
      <w:pPr>
        <w:pStyle w:val="TextBody"/>
        <w:bidi w:val="0"/>
        <w:spacing w:before="240" w:after="0"/>
        <w:jc w:val="left"/>
        <w:rPr/>
      </w:pPr>
      <w:r>
        <w:rPr/>
        <w:t>“</w:t>
      </w:r>
      <w:r>
        <w:rPr>
          <w:rFonts w:ascii="Times New Roman" w:hAnsi="Times New Roman"/>
          <w:b/>
          <w:i/>
          <w:sz w:val="20"/>
        </w:rPr>
        <w:t>Capital Lease Obligations</w:t>
      </w:r>
      <w:r>
        <w:rPr>
          <w:rFonts w:ascii="Times New Roman" w:hAnsi="Times New Roman"/>
          <w:sz w:val="20"/>
        </w:rPr>
        <w:t xml:space="preserve">” 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without giving effect to any change in accounting for leases pursuant to GAAP, including, without limitation, resulting from changes to (a) Accounting Standards Codification Topic 840, </w:t>
      </w:r>
      <w:r>
        <w:rPr>
          <w:rFonts w:ascii="Times New Roman" w:hAnsi="Times New Roman"/>
          <w:i/>
          <w:sz w:val="20"/>
        </w:rPr>
        <w:t>Leases</w:t>
      </w:r>
      <w:r>
        <w:rPr>
          <w:rFonts w:ascii="Times New Roman" w:hAnsi="Times New Roman"/>
          <w:sz w:val="20"/>
        </w:rPr>
        <w:t xml:space="preserve">, or the implementation of (b) Accounting Standards Codification Topic 842, </w:t>
      </w:r>
      <w:r>
        <w:rPr>
          <w:rFonts w:ascii="Times New Roman" w:hAnsi="Times New Roman"/>
          <w:i/>
          <w:sz w:val="20"/>
        </w:rPr>
        <w:t>Leases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Casualty Event</w:t>
      </w:r>
      <w:r>
        <w:rPr>
          <w:rFonts w:ascii="Times New Roman" w:hAnsi="Times New Roman"/>
          <w:sz w:val="20"/>
        </w:rPr>
        <w:t xml:space="preserve">” means the damage, destruction or condemnation, as the case may be, of any property of any Person. </w:t>
      </w:r>
    </w:p>
    <w:p>
      <w:pPr>
        <w:pStyle w:val="TextBody"/>
        <w:bidi w:val="0"/>
        <w:spacing w:before="240" w:after="0"/>
        <w:jc w:val="left"/>
        <w:rPr/>
      </w:pPr>
      <w:r>
        <w:rPr/>
        <w:t>“</w:t>
      </w:r>
      <w:r>
        <w:rPr>
          <w:rFonts w:ascii="Times New Roman" w:hAnsi="Times New Roman"/>
          <w:b/>
          <w:i/>
          <w:sz w:val="20"/>
        </w:rPr>
        <w:t>Certificate of Title</w:t>
      </w:r>
      <w:r>
        <w:rPr>
          <w:rFonts w:ascii="Times New Roman" w:hAnsi="Times New Roman"/>
          <w:sz w:val="20"/>
        </w:rPr>
        <w:t xml:space="preserve">” means a certificate of or report on title in respect of any Material Real Property or Future Acquired Material Real Property (as applicable) which is held freehold or commonhold (or, in the case of any such property located outside of England and Wales, held on the jurisdictional equivalent basis), prepared by the relevant Obligor’s solicitors and addressed to, and capable of being relied upon by, the Secured Parties and supplied to the Administrative Agent. </w:t>
      </w:r>
    </w:p>
    <w:p>
      <w:pPr>
        <w:pStyle w:val="TextBody"/>
        <w:bidi w:val="0"/>
        <w:spacing w:before="240" w:after="0"/>
        <w:jc w:val="left"/>
        <w:rPr/>
      </w:pPr>
      <w:r>
        <w:rPr/>
        <w:t>“</w:t>
      </w:r>
      <w:r>
        <w:rPr>
          <w:rFonts w:ascii="Times New Roman" w:hAnsi="Times New Roman"/>
          <w:b/>
          <w:i/>
          <w:sz w:val="20"/>
        </w:rPr>
        <w:t>Change of Control</w:t>
      </w:r>
      <w:r>
        <w:rPr>
          <w:rFonts w:ascii="Times New Roman" w:hAnsi="Times New Roman"/>
          <w:sz w:val="20"/>
        </w:rPr>
        <w:t xml:space="preserve">” means (a) any person or group of persons acting in concert gains direct or indirect control of the Issuer, (b) the Issuer shall cease to own, directly or indirectly, beneficially and of record, one hundred percent (100%) of the issued and outstanding Equity Interests of each of the Subsidiaries, (c) Intermediate Holdings shall cease to own, directly or indirectly, beneficially and of record, one hundred percent (100%) of the issued and outstanding Equity Interests of each of the other Subsidiaries, or (d) the sale of all or substantially all of the property of the business of the Issuer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clause (a) of this definition only, “control” of the Issuer means (i) the power (whether by way of ownership of shares, proxy, contract, agency or otherwise) to (x) cast, or control the casting of, more than fifty percent (50%) of the maximum number of votes that might be cast at a general meeting of the Issuer; (y) appoint or remove all, or the majority, of the directors or other equivalent officers of the Issuer; or (z) give directions with respect to the operating and financial policies of the Issuer with which the directors or other equivalent officers of the Issuer are obliged to comply; or (ii) the holding beneficially of more than fifty percent (50%) of the issued share capital of the Issuer (excluding any part of that issued share capital that carries no right to participate beyond a specified amount in a distribution of either profits or capital); and “acting in concert” means, a group of persons who, pursuant to an agreement or understanding (whether formal or informal), actively co-operate, through the acquisition of shares in the Issuer by any of them, either directly or indirectly, to obtain or consolidate control of the Issuer. </w:t>
      </w:r>
    </w:p>
    <w:p>
      <w:pPr>
        <w:pStyle w:val="TextBody"/>
        <w:bidi w:val="0"/>
        <w:spacing w:before="240" w:after="0"/>
        <w:jc w:val="left"/>
        <w:rPr/>
      </w:pPr>
      <w:r>
        <w:rPr/>
        <w:t>“</w:t>
      </w:r>
      <w:r>
        <w:rPr>
          <w:rFonts w:ascii="Times New Roman" w:hAnsi="Times New Roman"/>
          <w:b/>
          <w:i/>
          <w:sz w:val="20"/>
        </w:rPr>
        <w:t>Claim</w:t>
      </w:r>
      <w:r>
        <w:rPr>
          <w:rFonts w:ascii="Times New Roman" w:hAnsi="Times New Roman"/>
          <w:sz w:val="20"/>
        </w:rPr>
        <w:t xml:space="preserve">” means any claim, demand, complaint, grievance, action, application, suit, cause of action, order, charge, indictment, prosecution, final judgment or other similar process, assessment or reassessment, whether made, converted or assessed in connection with a debt, liability, dispute, breach, failure or otherwise.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means July 30, 2026.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U.S. Internal Revenue Code of 1986. </w:t>
      </w:r>
    </w:p>
    <w:p>
      <w:pPr>
        <w:pStyle w:val="TextBody"/>
        <w:bidi w:val="0"/>
        <w:spacing w:before="240" w:after="0"/>
        <w:jc w:val="left"/>
        <w:rPr/>
      </w:pPr>
      <w:r>
        <w:rPr/>
        <w:t>“</w:t>
      </w:r>
      <w:r>
        <w:rPr>
          <w:rFonts w:ascii="Times New Roman" w:hAnsi="Times New Roman"/>
          <w:b/>
          <w:i/>
          <w:sz w:val="20"/>
        </w:rPr>
        <w:t>Collateral</w:t>
      </w:r>
      <w:r>
        <w:rPr>
          <w:rFonts w:ascii="Times New Roman" w:hAnsi="Times New Roman"/>
          <w:sz w:val="20"/>
        </w:rPr>
        <w:t xml:space="preserve">” means all assets or property of the Obligors, now owned or hereafter acquired, upon which a Lien is purported to be created by any Security Document, but in any event excluding Excluded Assets (as defined in the Security Agreement). </w:t>
      </w:r>
    </w:p>
    <w:p>
      <w:pPr>
        <w:pStyle w:val="TextBody"/>
        <w:bidi w:val="0"/>
        <w:spacing w:before="240" w:after="0"/>
        <w:jc w:val="left"/>
        <w:rPr/>
      </w:pPr>
      <w:r>
        <w:rPr/>
        <w:t>“</w:t>
      </w:r>
      <w:r>
        <w:rPr>
          <w:rFonts w:ascii="Times New Roman" w:hAnsi="Times New Roman"/>
          <w:b/>
          <w:i/>
          <w:sz w:val="20"/>
        </w:rPr>
        <w:t>Commitment</w:t>
      </w:r>
      <w:r>
        <w:rPr>
          <w:rFonts w:ascii="Times New Roman" w:hAnsi="Times New Roman"/>
          <w:sz w:val="20"/>
        </w:rPr>
        <w:t>” means, as the context may require, any of the Tranche 1 Commitments, Tranche 2 Commitments, Tranche 3 Commitments, or the Tranche 4 Commitments, and “</w:t>
      </w:r>
      <w:r>
        <w:rPr>
          <w:rFonts w:ascii="Times New Roman" w:hAnsi="Times New Roman"/>
          <w:b/>
          <w:i/>
          <w:sz w:val="20"/>
        </w:rPr>
        <w:t>Commitments</w:t>
      </w:r>
      <w:r>
        <w:rPr>
          <w:rFonts w:ascii="Times New Roman" w:hAnsi="Times New Roman"/>
          <w:sz w:val="20"/>
        </w:rPr>
        <w:t xml:space="preserve">” means, collectively, any combination of the foregoing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Commodity Account</w:t>
      </w:r>
      <w:r>
        <w:rPr>
          <w:rFonts w:ascii="Times New Roman" w:hAnsi="Times New Roman"/>
          <w:sz w:val="20"/>
        </w:rPr>
        <w:t xml:space="preserve">” means any commodity account, as such term is defined in Section 9-102 of the NY UCC. </w:t>
      </w:r>
    </w:p>
    <w:p>
      <w:pPr>
        <w:pStyle w:val="TextBody"/>
        <w:bidi w:val="0"/>
        <w:spacing w:before="240" w:after="0"/>
        <w:jc w:val="left"/>
        <w:rPr/>
      </w:pPr>
      <w:r>
        <w:rPr/>
        <w:t>“</w:t>
      </w:r>
      <w:r>
        <w:rPr>
          <w:rFonts w:ascii="Times New Roman" w:hAnsi="Times New Roman"/>
          <w:b/>
          <w:i/>
          <w:sz w:val="20"/>
        </w:rPr>
        <w:t>Competitor</w:t>
      </w:r>
      <w:r>
        <w:rPr>
          <w:rFonts w:ascii="Times New Roman" w:hAnsi="Times New Roman"/>
          <w:sz w:val="20"/>
        </w:rPr>
        <w:t xml:space="preserve">” means any Person that is (a) listed as a competitor in the Issuer’s most recent public filings made with the SEC as may be supplemented from time to time with the SEC or (b) listed on </w:t>
      </w:r>
      <w:r>
        <w:rPr>
          <w:rFonts w:ascii="Times New Roman" w:hAnsi="Times New Roman"/>
          <w:b/>
          <w:sz w:val="20"/>
        </w:rPr>
        <w:t>Schedule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Compliance Certificate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Conforming Changes</w:t>
      </w:r>
      <w:r>
        <w:rPr>
          <w:rFonts w:ascii="Times New Roman" w:hAnsi="Times New Roman"/>
          <w:sz w:val="20"/>
        </w:rPr>
        <w:t xml:space="preserve">” means, with respect to either the use or administration of One-Month Term SOFR,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with respect to the timing and frequency of determining rates and making payments of interest, the timing of subscription requests or redemptions, conversion or continuation notices, the applicability and length of lookback periods, the applicability of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3.02(e) </w:t>
      </w:r>
      <w:r>
        <w:rPr>
          <w:rFonts w:ascii="Times New Roman" w:hAnsi="Times New Roman"/>
          <w:sz w:val="20"/>
        </w:rPr>
        <w:t xml:space="preserve">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Notes Documents). </w:t>
      </w:r>
    </w:p>
    <w:p>
      <w:pPr>
        <w:pStyle w:val="TextBody"/>
        <w:bidi w:val="0"/>
        <w:spacing w:before="240" w:after="0"/>
        <w:jc w:val="left"/>
        <w:rPr/>
      </w:pPr>
      <w:r>
        <w:rPr/>
        <w:t>“</w:t>
      </w:r>
      <w:r>
        <w:rPr>
          <w:rFonts w:ascii="Times New Roman" w:hAnsi="Times New Roman"/>
          <w:b/>
          <w:i/>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i/>
          <w:sz w:val="20"/>
        </w:rPr>
        <w:t>Consolidated Net Revenue</w:t>
      </w:r>
      <w:r>
        <w:rPr>
          <w:rFonts w:ascii="Times New Roman" w:hAnsi="Times New Roman"/>
          <w:sz w:val="20"/>
        </w:rPr>
        <w:t xml:space="preserve">” means, for any period, without duplication, consolidated net revenue recorded in accordance with GAAP related to product sales (for the avoidance of doubt, including any royalties based on net sales, but excluding lump-sum upfront payments under license agreements and milestone payments). </w:t>
      </w:r>
    </w:p>
    <w:p>
      <w:pPr>
        <w:pStyle w:val="TextBody"/>
        <w:bidi w:val="0"/>
        <w:spacing w:before="240" w:after="0"/>
        <w:jc w:val="left"/>
        <w:rPr/>
      </w:pPr>
      <w:r>
        <w:rPr/>
        <w:t>“</w:t>
      </w:r>
      <w:r>
        <w:rPr>
          <w:rFonts w:ascii="Times New Roman" w:hAnsi="Times New Roman"/>
          <w:b/>
          <w:i/>
          <w:sz w:val="20"/>
        </w:rPr>
        <w:t>Contingent Acquisition Obligations</w:t>
      </w:r>
      <w:r>
        <w:rPr>
          <w:rFonts w:ascii="Times New Roman" w:hAnsi="Times New Roman"/>
          <w:sz w:val="20"/>
        </w:rPr>
        <w:t xml:space="preserve">” has the meaning set forth in </w:t>
      </w:r>
      <w:r>
        <w:rPr>
          <w:rFonts w:ascii="Times New Roman" w:hAnsi="Times New Roman"/>
          <w:b/>
          <w:sz w:val="20"/>
        </w:rPr>
        <w:t>clause (e)</w:t>
      </w:r>
      <w:r>
        <w:rPr>
          <w:rFonts w:ascii="Times New Roman" w:hAnsi="Times New Roman"/>
          <w:sz w:val="20"/>
        </w:rPr>
        <w:t> of the definition of “</w:t>
      </w:r>
      <w:r>
        <w:rPr>
          <w:rFonts w:ascii="Times New Roman" w:hAnsi="Times New Roman"/>
          <w:b/>
          <w:i/>
          <w:sz w:val="20"/>
        </w:rPr>
        <w:t>Indebtedness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Contract</w:t>
      </w:r>
      <w:r>
        <w:rPr>
          <w:rFonts w:ascii="Times New Roman" w:hAnsi="Times New Roman"/>
          <w:sz w:val="20"/>
        </w:rPr>
        <w:t xml:space="preserve">” means any contract, license, lease, agreement, undertaking, document, indenture, instrument, or other commitment under which a Person has, or will have, any liability or contingent liability (in each case, whether written or oral, express or implied, and whether in respect of monetary, payment, or performance obligations). </w:t>
      </w:r>
    </w:p>
    <w:p>
      <w:pPr>
        <w:pStyle w:val="TextBody"/>
        <w:bidi w:val="0"/>
        <w:spacing w:before="240" w:after="0"/>
        <w:jc w:val="left"/>
        <w:rPr/>
      </w:pPr>
      <w:r>
        <w:rPr/>
        <w:t>“</w:t>
      </w:r>
      <w:r>
        <w:rPr>
          <w:rFonts w:ascii="Times New Roman" w:hAnsi="Times New Roman"/>
          <w:b/>
          <w:i/>
          <w:sz w:val="20"/>
        </w:rPr>
        <w:t>Contribution Notice</w:t>
      </w:r>
      <w:r>
        <w:rPr>
          <w:rFonts w:ascii="Times New Roman" w:hAnsi="Times New Roman"/>
          <w:sz w:val="20"/>
        </w:rPr>
        <w:t xml:space="preserve">” means a contribution notice issued by the Pensions Regulator under section 38 (inclusive of sections 38A to 38F) or section 47 of the UK Pensions Act 2004. </w:t>
      </w:r>
    </w:p>
    <w:p>
      <w:pPr>
        <w:pStyle w:val="TextBody"/>
        <w:bidi w:val="0"/>
        <w:spacing w:before="240" w:after="0"/>
        <w:jc w:val="left"/>
        <w:rPr/>
      </w:pPr>
      <w:r>
        <w:rPr/>
        <w:t>“</w:t>
      </w:r>
      <w:r>
        <w:rPr>
          <w:rFonts w:ascii="Times New Roman" w:hAnsi="Times New Roman"/>
          <w:b/>
          <w:i/>
          <w:sz w:val="20"/>
        </w:rPr>
        <w:t>Control</w:t>
      </w:r>
      <w:r>
        <w:rPr>
          <w:rFonts w:ascii="Times New Roman" w:hAnsi="Times New Roman"/>
          <w:sz w:val="20"/>
        </w:rPr>
        <w:t>” means (for the avoidance of doubt other than with respect to clause (a) of the definition of Change of Control),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w:t>
      </w:r>
      <w:r>
        <w:rPr>
          <w:rFonts w:ascii="Times New Roman" w:hAnsi="Times New Roman"/>
          <w:b/>
          <w:i/>
          <w:sz w:val="20"/>
        </w:rPr>
        <w:t>Controlling</w:t>
      </w:r>
      <w:r>
        <w:rPr>
          <w:rFonts w:ascii="Times New Roman" w:hAnsi="Times New Roman"/>
          <w:sz w:val="20"/>
        </w:rPr>
        <w:t>” and “</w:t>
      </w:r>
      <w:r>
        <w:rPr>
          <w:rFonts w:ascii="Times New Roman" w:hAnsi="Times New Roman"/>
          <w:b/>
          <w:i/>
          <w:sz w:val="20"/>
        </w:rPr>
        <w:t>Controlled</w:t>
      </w:r>
      <w:r>
        <w:rPr>
          <w:rFonts w:ascii="Times New Roman" w:hAnsi="Times New Roman"/>
          <w:sz w:val="20"/>
        </w:rPr>
        <w:t xml:space="preserve">” (and similar derivatives) have meanings correlative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Controlled Account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Copyright</w:t>
      </w:r>
      <w:r>
        <w:rPr>
          <w:rFonts w:ascii="Times New Roman" w:hAnsi="Times New Roman"/>
          <w:sz w:val="20"/>
        </w:rPr>
        <w:t xml:space="preserve">” means all copyrights, copyright registrations and applications for copyright registrations, including all renewals and extensions thereof, all rights to recover for past, present or future infringements thereof, and all other rights whatsoever accruing thereunder or pertaining thereto. </w:t>
      </w:r>
    </w:p>
    <w:p>
      <w:pPr>
        <w:pStyle w:val="TextBody"/>
        <w:bidi w:val="0"/>
        <w:spacing w:before="240" w:after="0"/>
        <w:jc w:val="left"/>
        <w:rPr/>
      </w:pPr>
      <w:r>
        <w:rPr/>
        <w:t>“</w:t>
      </w:r>
      <w:r>
        <w:rPr>
          <w:rFonts w:ascii="Times New Roman" w:hAnsi="Times New Roman"/>
          <w:b/>
          <w:i/>
          <w:sz w:val="20"/>
        </w:rPr>
        <w:t>CPS</w:t>
      </w:r>
      <w:r>
        <w:rPr>
          <w:rFonts w:ascii="Times New Roman" w:hAnsi="Times New Roman"/>
          <w:sz w:val="20"/>
        </w:rPr>
        <w:t xml:space="preserve">” means the Crown Prosecution Service (or any successor or replacement body from time to time). </w:t>
      </w:r>
    </w:p>
    <w:p>
      <w:pPr>
        <w:pStyle w:val="TextBody"/>
        <w:bidi w:val="0"/>
        <w:spacing w:before="240" w:after="0"/>
        <w:jc w:val="left"/>
        <w:rPr/>
      </w:pPr>
      <w:r>
        <w:rPr/>
        <w:t>“</w:t>
      </w:r>
      <w:r>
        <w:rPr>
          <w:rFonts w:ascii="Times New Roman" w:hAnsi="Times New Roman"/>
          <w:b/>
          <w:i/>
          <w:sz w:val="20"/>
        </w:rPr>
        <w:t>Criminal Pension Powers</w:t>
      </w:r>
      <w:r>
        <w:rPr>
          <w:rFonts w:ascii="Times New Roman" w:hAnsi="Times New Roman"/>
          <w:sz w:val="20"/>
        </w:rPr>
        <w:t xml:space="preserve">” means the powers of the Pensions Regulator and the CPS to investigate and/ or bring criminal prosecutions and take related actions under Part 1 of the UK Pensions Act 2004. </w:t>
      </w:r>
    </w:p>
    <w:p>
      <w:pPr>
        <w:pStyle w:val="TextBody"/>
        <w:bidi w:val="0"/>
        <w:spacing w:before="240" w:after="0"/>
        <w:jc w:val="left"/>
        <w:rPr/>
      </w:pPr>
      <w:r>
        <w:rPr/>
        <w:t>“</w:t>
      </w:r>
      <w:r>
        <w:rPr>
          <w:rFonts w:ascii="Times New Roman" w:hAnsi="Times New Roman"/>
          <w:b/>
          <w:i/>
          <w:sz w:val="20"/>
        </w:rPr>
        <w:t>Data Protection Laws</w:t>
      </w:r>
      <w:r>
        <w:rPr>
          <w:rFonts w:ascii="Times New Roman" w:hAnsi="Times New Roman"/>
          <w:sz w:val="20"/>
        </w:rPr>
        <w:t xml:space="preserve">” means any applicable Requirements of Law relating to privacy, data security, the Processing of Personal Information, data breach notification, website and mobile application privacy policies, wiretapping, the interception of electronic communications, the tracking or monitoring of online activity to the extent involving Personal Information, data- or web-scraping of Personal Information, advertising or marketing using Personal Information. </w:t>
      </w:r>
    </w:p>
    <w:p>
      <w:pPr>
        <w:pStyle w:val="TextBody"/>
        <w:bidi w:val="0"/>
        <w:spacing w:before="240" w:after="0"/>
        <w:jc w:val="left"/>
        <w:rPr/>
      </w:pPr>
      <w:r>
        <w:rPr/>
        <w:t>“</w:t>
      </w:r>
      <w:r>
        <w:rPr>
          <w:rFonts w:ascii="Times New Roman" w:hAnsi="Times New Roman"/>
          <w:b/>
          <w:i/>
          <w:sz w:val="20"/>
        </w:rPr>
        <w:t>Data Protection Requirements</w:t>
      </w:r>
      <w:r>
        <w:rPr>
          <w:rFonts w:ascii="Times New Roman" w:hAnsi="Times New Roman"/>
          <w:sz w:val="20"/>
        </w:rPr>
        <w:t xml:space="preserve">” means all applicable: (i) Data Protection Laws, (ii) Privacy Policies; and (iii) terms of any agreements to which Issuer or any of its Subsidiaries is bound relating to such party’s Processing of Personal Information. </w:t>
      </w:r>
    </w:p>
    <w:p>
      <w:pPr>
        <w:pStyle w:val="TextBody"/>
        <w:bidi w:val="0"/>
        <w:spacing w:before="240" w:after="0"/>
        <w:jc w:val="left"/>
        <w:rPr/>
      </w:pPr>
      <w:r>
        <w:rPr/>
        <w:t>“</w:t>
      </w:r>
      <w:r>
        <w:rPr>
          <w:rFonts w:ascii="Times New Roman" w:hAnsi="Times New Roman"/>
          <w:b/>
          <w:i/>
          <w:sz w:val="20"/>
        </w:rPr>
        <w:t>Default</w:t>
      </w:r>
      <w:r>
        <w:rPr>
          <w:rFonts w:ascii="Times New Roman" w:hAnsi="Times New Roman"/>
          <w:sz w:val="20"/>
        </w:rPr>
        <w:t xml:space="preserve">” means any Event of Default and any event that, upon the giving of notice, the lapse of time or both, would constitute an Event of Default. </w:t>
      </w:r>
    </w:p>
    <w:p>
      <w:pPr>
        <w:pStyle w:val="TextBody"/>
        <w:bidi w:val="0"/>
        <w:spacing w:before="240" w:after="0"/>
        <w:jc w:val="left"/>
        <w:rPr/>
      </w:pPr>
      <w:r>
        <w:rPr/>
        <w:t>“</w:t>
      </w:r>
      <w:r>
        <w:rPr>
          <w:rFonts w:ascii="Times New Roman" w:hAnsi="Times New Roman"/>
          <w:b/>
          <w:i/>
          <w:sz w:val="20"/>
        </w:rPr>
        <w:t>Default Rate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Deposit Account</w:t>
      </w:r>
      <w:r>
        <w:rPr>
          <w:rFonts w:ascii="Times New Roman" w:hAnsi="Times New Roman"/>
          <w:sz w:val="20"/>
        </w:rPr>
        <w:t xml:space="preserve">” means any deposit account, as such term is defined in Section 9-102 of the NY UCC. </w:t>
      </w:r>
    </w:p>
    <w:p>
      <w:pPr>
        <w:pStyle w:val="TextBody"/>
        <w:bidi w:val="0"/>
        <w:spacing w:before="240" w:after="0"/>
        <w:jc w:val="left"/>
        <w:rPr/>
      </w:pPr>
      <w:r>
        <w:rPr/>
        <w:t>“</w:t>
      </w:r>
      <w:r>
        <w:rPr>
          <w:rFonts w:ascii="Times New Roman" w:hAnsi="Times New Roman"/>
          <w:b/>
          <w:i/>
          <w:sz w:val="20"/>
        </w:rPr>
        <w:t>Designated Jurisdiction</w:t>
      </w:r>
      <w:r>
        <w:rPr>
          <w:rFonts w:ascii="Times New Roman" w:hAnsi="Times New Roman"/>
          <w:sz w:val="20"/>
        </w:rPr>
        <w:t xml:space="preserve">” means any country or territory that is itself the target of comprehensive Sanctions (as of the date of this Agreement, Cuba, Iran, North Korea, the Crimea region of Ukraine, the so-called Donetsk People’s Republic, and the so-called Luhansk People’s Republic). </w:t>
      </w:r>
    </w:p>
    <w:p>
      <w:pPr>
        <w:pStyle w:val="TextBody"/>
        <w:bidi w:val="0"/>
        <w:spacing w:before="240" w:after="0"/>
        <w:jc w:val="left"/>
        <w:rPr/>
      </w:pPr>
      <w:r>
        <w:rPr/>
        <w:t>“</w:t>
      </w:r>
      <w:r>
        <w:rPr>
          <w:rFonts w:ascii="Times New Roman" w:hAnsi="Times New Roman"/>
          <w:b/>
          <w:i/>
          <w:sz w:val="20"/>
        </w:rPr>
        <w:t>Disqualified Equity Interests</w:t>
      </w:r>
      <w:r>
        <w:rPr>
          <w:rFonts w:ascii="Times New Roman" w:hAnsi="Times New Roman"/>
          <w:sz w:val="20"/>
        </w:rPr>
        <w:t xml:space="preserve">” means, with respect to any Person, any Equity Interest of such Person that, by its terms (or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and cash in lieu of fractional shares), including pursuant to a sinking fund obligation or otherwise, (b) is redeemable at the option of the holder thereof (other than solely for Qualified Equity Interests and cash in lieu of fractional shares), in whole or in part, (c)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scheduled payments of dividends or other distributions in cash or other securities that would constitute Disqualified Equity Interests, or (d) is or becomes convertible into or exchangeable for Indebtedness or any other Equity Interests that would constitute Disqualified Equity Interests, in the case of each of clauses (a) through (d), (i) prior to the date that is ninety-one (91) days after the scheduled Maturity Date at the time of the issuance of such Equity Interests and (ii) except as a result of a change in control or asset sale so long as any right of the holders thereof upon the occurrence of a change in control or asset sale event shall be subject to the occurrence of the redemption of all of the outstanding principal amount of the Notes and payment of all other Obligations that are accrued and payable and the termination or expiration of the Commitments; </w:t>
      </w:r>
      <w:r>
        <w:rPr>
          <w:rFonts w:ascii="Times New Roman" w:hAnsi="Times New Roman"/>
          <w:sz w:val="20"/>
          <w:u w:val="single"/>
        </w:rPr>
        <w:t>provided</w:t>
      </w:r>
      <w:r>
        <w:rPr>
          <w:rFonts w:ascii="Times New Roman" w:hAnsi="Times New Roman"/>
          <w:sz w:val="20"/>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 </w:t>
      </w:r>
    </w:p>
    <w:p>
      <w:pPr>
        <w:pStyle w:val="TextBody"/>
        <w:bidi w:val="0"/>
        <w:spacing w:before="240" w:after="0"/>
        <w:jc w:val="left"/>
        <w:rPr/>
      </w:pPr>
      <w:r>
        <w:rPr/>
        <w:t>“</w:t>
      </w:r>
      <w:r>
        <w:rPr>
          <w:rFonts w:ascii="Times New Roman" w:hAnsi="Times New Roman"/>
          <w:b/>
          <w:i/>
          <w:sz w:val="20"/>
        </w:rPr>
        <w:t>Disqualified Institution</w:t>
      </w:r>
      <w:r>
        <w:rPr>
          <w:rFonts w:ascii="Times New Roman" w:hAnsi="Times New Roman"/>
          <w:sz w:val="20"/>
        </w:rPr>
        <w:t xml:space="preserve">” means (a) those Persons that are Competitors, (b) those Persons separately identified by name by the Issuer to the Administrative Agent in writing on or before the Closing Date, or (c) in the case of </w:t>
      </w:r>
      <w:r>
        <w:rPr>
          <w:rFonts w:ascii="Times New Roman" w:hAnsi="Times New Roman"/>
          <w:b/>
          <w:sz w:val="20"/>
        </w:rPr>
        <w:t>clauses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any of their respective Affiliates (other than Affiliates that are bona fide debt funds engaged in, or that advise funds or other investment vehicles that are engaged in, making, purchasing, holding or otherwise investing in commercial loans, notes, bonds or similar extensions of credit or securities in the ordinary course of its business except such funds that primarily invest in distressed debt or other distressed financial assets) that are (i) clearly identifiable as Affiliates solely on the basis of their name (</w:t>
      </w:r>
      <w:r>
        <w:rPr>
          <w:rFonts w:ascii="Times New Roman" w:hAnsi="Times New Roman"/>
          <w:sz w:val="20"/>
          <w:u w:val="single"/>
        </w:rPr>
        <w:t>provided</w:t>
      </w:r>
      <w:r>
        <w:rPr>
          <w:rFonts w:ascii="Times New Roman" w:hAnsi="Times New Roman"/>
          <w:sz w:val="20"/>
        </w:rPr>
        <w:t xml:space="preserve"> that the Administrative Agent shall not have any obligation to carry out due diligence in order to identify such Affiliates) or (ii) identified by name by the Issuer to the Administrative Agent in writing from time to time; </w:t>
      </w:r>
      <w:r>
        <w:rPr>
          <w:rFonts w:ascii="Times New Roman" w:hAnsi="Times New Roman"/>
          <w:sz w:val="20"/>
          <w:u w:val="single"/>
        </w:rPr>
        <w:t>provided</w:t>
      </w:r>
      <w:r>
        <w:rPr>
          <w:rFonts w:ascii="Times New Roman" w:hAnsi="Times New Roman"/>
          <w:sz w:val="20"/>
        </w:rPr>
        <w:t xml:space="preserve"> that the foregoing shall not apply retroactively to disqualify any Person that previously acquired an assignment or participation interest to the extent such Person was not a Disqualified Institution at the time of the applicable assignment or participation, as the case may be. </w:t>
      </w:r>
    </w:p>
    <w:p>
      <w:pPr>
        <w:pStyle w:val="TextBody"/>
        <w:bidi w:val="0"/>
        <w:spacing w:before="240" w:after="0"/>
        <w:jc w:val="left"/>
        <w:rPr/>
      </w:pPr>
      <w:r>
        <w:rPr/>
        <w:t>“</w:t>
      </w:r>
      <w:r>
        <w:rPr>
          <w:rFonts w:ascii="Times New Roman" w:hAnsi="Times New Roman"/>
          <w:b/>
          <w:i/>
          <w:sz w:val="20"/>
        </w:rPr>
        <w:t>Dollars</w:t>
      </w:r>
      <w:r>
        <w:rPr>
          <w:rFonts w:ascii="Times New Roman" w:hAnsi="Times New Roman"/>
          <w:sz w:val="20"/>
        </w:rPr>
        <w:t>” and “</w:t>
      </w:r>
      <w:r>
        <w:rPr>
          <w:rFonts w:ascii="Times New Roman" w:hAnsi="Times New Roman"/>
          <w:b/>
          <w:i/>
          <w:sz w:val="20"/>
        </w:rPr>
        <w:t>$</w:t>
      </w:r>
      <w:r>
        <w:rPr>
          <w:rFonts w:ascii="Times New Roman" w:hAnsi="Times New Roman"/>
          <w:sz w:val="20"/>
        </w:rPr>
        <w:t xml:space="preserve">” means lawful money of the United States of America. </w:t>
      </w:r>
    </w:p>
    <w:p>
      <w:pPr>
        <w:pStyle w:val="TextBody"/>
        <w:bidi w:val="0"/>
        <w:spacing w:before="240" w:after="0"/>
        <w:jc w:val="left"/>
        <w:rPr/>
      </w:pPr>
      <w:r>
        <w:rPr/>
        <w:t>“</w:t>
      </w:r>
      <w:r>
        <w:rPr>
          <w:rFonts w:ascii="Times New Roman" w:hAnsi="Times New Roman"/>
          <w:b/>
          <w:i/>
          <w:sz w:val="20"/>
        </w:rPr>
        <w:t>Early</w:t>
      </w:r>
      <w:r>
        <w:rPr>
          <w:rFonts w:ascii="Times New Roman" w:hAnsi="Times New Roman"/>
          <w:sz w:val="20"/>
        </w:rPr>
        <w:t xml:space="preserve"> </w:t>
      </w:r>
      <w:r>
        <w:rPr>
          <w:rFonts w:ascii="Times New Roman" w:hAnsi="Times New Roman"/>
          <w:b/>
          <w:i/>
          <w:sz w:val="20"/>
        </w:rPr>
        <w:t>Redemption Date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Early Redemption Fee</w:t>
      </w:r>
      <w:r>
        <w:rPr>
          <w:rFonts w:ascii="Times New Roman" w:hAnsi="Times New Roman"/>
          <w:sz w:val="20"/>
        </w:rPr>
        <w:t xml:space="preserve">” means, with respect to any redemption of all or any portion of the outstanding principal amount of the Notes on any Early Redemption Date, whether pursuant to </w:t>
      </w:r>
      <w:r>
        <w:rPr>
          <w:rFonts w:ascii="Times New Roman" w:hAnsi="Times New Roman"/>
          <w:b/>
          <w:sz w:val="20"/>
        </w:rPr>
        <w:t>clause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or otherwise, occurring (i) at any time on or prior to the first anniversary of the Closing Date, an amount equal to eight percent (8.00%) of the aggregate outstanding principal amount of the Notes being redeemed; (ii) at any time after the first anniversary of the Closing Date and on or prior to the second anniversary of the Closing Date, an amount equal to six percent (6.00%) of the aggregate outstanding principal amount of the Notes being redeemed; (iii) at any time after the second anniversary of the Closing Date and on or prior to the third anniversary of the Closing Date, an amount equal to three percent (3.00%) of the aggregate outstanding principal amount of the Notes being redeemed; (iv) at any time after the third anniversary of the Closing Date and on or prior to the fourth anniversary of the Closing Date, an amount equal to two percent (2.00%) of the aggregate outstanding principal amount of the Notes being redeemed; and (v) thereafter, one percent (1.00%) of the aggregate outstanding principal amount of the Notes being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Early Redemption Price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3.03(a)(i)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b/>
          <w:sz w:val="20"/>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b/>
          <w:sz w:val="20"/>
        </w:rPr>
        <w:t>clauses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b/>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i/>
          <w:sz w:val="20"/>
        </w:rPr>
        <w:t>Eligible Transferee</w:t>
      </w:r>
      <w:r>
        <w:rPr>
          <w:rFonts w:ascii="Times New Roman" w:hAnsi="Times New Roman"/>
          <w:sz w:val="20"/>
        </w:rPr>
        <w:t xml:space="preserve">” means and includes (a) any commercial bank, (b) any insurance company, (c) any finance company, (d) any financial institution, (e) any investment fund that primarily invests in non-distressed loans, notes or other obligations for borrowed money, (f) with respect to any Noteholder, any of its Affiliates, and (g) any other “accredited investor” (as defined in Regulation D of the Securities Act) that is principally in the business of managing investments or holding assets for investment purposes; </w:t>
      </w:r>
      <w:r>
        <w:rPr>
          <w:rFonts w:ascii="Times New Roman" w:hAnsi="Times New Roman"/>
          <w:sz w:val="20"/>
          <w:u w:val="single"/>
        </w:rPr>
        <w:t>provided</w:t>
      </w:r>
      <w:r>
        <w:rPr>
          <w:rFonts w:ascii="Times New Roman" w:hAnsi="Times New Roman"/>
          <w:sz w:val="20"/>
        </w:rPr>
        <w:t xml:space="preserve"> that, in each case, “Eligible Transferee” shall not include any Disqualified Institution. </w:t>
      </w:r>
    </w:p>
    <w:p>
      <w:pPr>
        <w:pStyle w:val="TextBody"/>
        <w:bidi w:val="0"/>
        <w:spacing w:before="240" w:after="0"/>
        <w:jc w:val="left"/>
        <w:rPr/>
      </w:pPr>
      <w:r>
        <w:rPr/>
        <w:t>“</w:t>
      </w:r>
      <w:r>
        <w:rPr>
          <w:rFonts w:ascii="Times New Roman" w:hAnsi="Times New Roman"/>
          <w:b/>
          <w:i/>
          <w:sz w:val="20"/>
        </w:rPr>
        <w:t>Enforcement Notice</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English Guarantors</w:t>
      </w:r>
      <w:r>
        <w:rPr>
          <w:rFonts w:ascii="Times New Roman" w:hAnsi="Times New Roman"/>
          <w:sz w:val="20"/>
        </w:rPr>
        <w:t xml:space="preserve">” means Intermediate Holdings and Autolus Limited. </w:t>
      </w:r>
    </w:p>
    <w:p>
      <w:pPr>
        <w:pStyle w:val="TextBody"/>
        <w:bidi w:val="0"/>
        <w:spacing w:before="240" w:after="0"/>
        <w:jc w:val="left"/>
        <w:rPr/>
      </w:pPr>
      <w:r>
        <w:rPr/>
        <w:t>“</w:t>
      </w:r>
      <w:r>
        <w:rPr>
          <w:rFonts w:ascii="Times New Roman" w:hAnsi="Times New Roman"/>
          <w:b/>
          <w:i/>
          <w:sz w:val="20"/>
        </w:rPr>
        <w:t>English Law Security Agreement</w:t>
      </w:r>
      <w:r>
        <w:rPr>
          <w:rFonts w:ascii="Times New Roman" w:hAnsi="Times New Roman"/>
          <w:sz w:val="20"/>
        </w:rPr>
        <w:t>” means the English law governed security agreement dated on or about the date of this Agreement and made among the English Obligors as chargors and the Administrative Agent as security trustee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English Legal Reservations</w:t>
      </w:r>
      <w:r>
        <w:rPr>
          <w:rFonts w:ascii="Times New Roman" w:hAnsi="Times New Roman"/>
          <w:sz w:val="20"/>
        </w:rPr>
        <w:t xml:space="preserve">” means, solely in respect of the English Guarantors: </w:t>
      </w:r>
    </w:p>
    <w:p>
      <w:pPr>
        <w:pStyle w:val="TextBody"/>
        <w:bidi w:val="0"/>
        <w:spacing w:before="120" w:after="0"/>
        <w:jc w:val="left"/>
        <w:rPr>
          <w:rFonts w:ascii="Times New Roman" w:hAnsi="Times New Roman"/>
          <w:sz w:val="20"/>
        </w:rPr>
      </w:pPr>
      <w:r>
        <w:rPr>
          <w:rFonts w:ascii="Times New Roman" w:hAnsi="Times New Roman"/>
          <w:sz w:val="20"/>
        </w:rPr>
        <w:t xml:space="preserve">(a) the principle that equitable remedies may be granted or refused at the discretion of a court, where applicable, the principles of reasonableness and fairness in relation to the exercising of rights and discretions, and the limitation of enforcement by laws relating to insolvency, reorganisation and other laws generally affecting the rights of creditors; </w:t>
      </w:r>
    </w:p>
    <w:p>
      <w:pPr>
        <w:pStyle w:val="TextBody"/>
        <w:bidi w:val="0"/>
        <w:spacing w:before="120" w:after="0"/>
        <w:jc w:val="left"/>
        <w:rPr>
          <w:rFonts w:ascii="Times New Roman" w:hAnsi="Times New Roman"/>
          <w:sz w:val="20"/>
        </w:rPr>
      </w:pPr>
      <w:r>
        <w:rPr>
          <w:rFonts w:ascii="Times New Roman" w:hAnsi="Times New Roman"/>
          <w:sz w:val="20"/>
        </w:rPr>
        <w:t xml:space="preserve">(b) the time barring of claims under the UK Limitation Acts, the possibility that an undertaking to assume liability for or indemnify a person against non-payment of UK stamp duty may be void and defences of set-off or counterclaim;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principle that any provision for the payment of compensation or additional interest which is not a genuine pre-estimate of loss may be unenforceable on the grounds that it is a penalty and thus void; </w:t>
      </w:r>
    </w:p>
    <w:p>
      <w:pPr>
        <w:pStyle w:val="TextBody"/>
        <w:bidi w:val="0"/>
        <w:spacing w:before="120" w:after="0"/>
        <w:jc w:val="left"/>
        <w:rPr>
          <w:rFonts w:ascii="Times New Roman" w:hAnsi="Times New Roman"/>
          <w:sz w:val="20"/>
        </w:rPr>
      </w:pPr>
      <w:r>
        <w:rPr>
          <w:rFonts w:ascii="Times New Roman" w:hAnsi="Times New Roman"/>
          <w:sz w:val="20"/>
        </w:rPr>
        <w:t xml:space="preserve">(d) the principle that an English court may refuse to give effect to a provision dealing with the cost of litigation brought before any court where the litigation is unsuccessful or the court itself has made an order for costs; </w:t>
      </w:r>
    </w:p>
    <w:p>
      <w:pPr>
        <w:pStyle w:val="TextBody"/>
        <w:bidi w:val="0"/>
        <w:spacing w:before="120" w:after="0"/>
        <w:jc w:val="left"/>
        <w:rPr>
          <w:rFonts w:ascii="Times New Roman" w:hAnsi="Times New Roman"/>
          <w:sz w:val="20"/>
        </w:rPr>
      </w:pPr>
      <w:r>
        <w:rPr>
          <w:rFonts w:ascii="Times New Roman" w:hAnsi="Times New Roman"/>
          <w:sz w:val="20"/>
        </w:rPr>
        <w:t xml:space="preserve">(e) the principle that in certain circumstances security granted by way of fixed charge may be characterised as a floating charge or that security purported to be constituted by an assignment may be recharacterised as a charge; </w:t>
      </w:r>
    </w:p>
    <w:p>
      <w:pPr>
        <w:pStyle w:val="TextBody"/>
        <w:bidi w:val="0"/>
        <w:spacing w:before="120" w:after="0"/>
        <w:jc w:val="left"/>
        <w:rPr>
          <w:rFonts w:ascii="Times New Roman" w:hAnsi="Times New Roman"/>
          <w:sz w:val="20"/>
        </w:rPr>
      </w:pPr>
      <w:r>
        <w:rPr>
          <w:rFonts w:ascii="Times New Roman" w:hAnsi="Times New Roman"/>
          <w:sz w:val="20"/>
        </w:rPr>
        <w:t xml:space="preserve">(f) any consequences of granting security in relation to a lease or other agreement which prohibits the granting of security over it or requires the consent of a landlord or other third party to such security; </w:t>
      </w:r>
    </w:p>
    <w:p>
      <w:pPr>
        <w:pStyle w:val="TextBody"/>
        <w:bidi w:val="0"/>
        <w:spacing w:before="120" w:after="0"/>
        <w:jc w:val="left"/>
        <w:rPr>
          <w:rFonts w:ascii="Times New Roman" w:hAnsi="Times New Roman"/>
          <w:sz w:val="20"/>
        </w:rPr>
      </w:pPr>
      <w:r>
        <w:rPr>
          <w:rFonts w:ascii="Times New Roman" w:hAnsi="Times New Roman"/>
          <w:sz w:val="20"/>
        </w:rPr>
        <w:t xml:space="preserve">(g) any flaw in the legality or enforceability of any security under a Note Document which is governed by the laws of the jurisdiction of organisation of the company granting such Security insofar as such Security is granted over the shares in a company incorporated, formed or organized in a different jurisdiction under the laws of that company’s jurisdiction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(h) similar principles, rights and defences under the laws of any applicable jurisdiction; </w:t>
      </w:r>
    </w:p>
    <w:p>
      <w:pPr>
        <w:pStyle w:val="TextBody"/>
        <w:bidi w:val="0"/>
        <w:spacing w:before="120" w:after="0"/>
        <w:jc w:val="left"/>
        <w:rPr>
          <w:rFonts w:ascii="Times New Roman" w:hAnsi="Times New Roman"/>
          <w:sz w:val="20"/>
        </w:rPr>
      </w:pPr>
      <w:r>
        <w:rPr>
          <w:rFonts w:ascii="Times New Roman" w:hAnsi="Times New Roman"/>
          <w:sz w:val="20"/>
        </w:rPr>
        <w:t xml:space="preserve">(i) any other matters which are set out as qualifications or reservations as to matters of law of general application in the legal opinions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6.01(m)</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(j) the principles of private and procedural laws of the applicable jurisdiction which affect the recognition and enforcement of a foreign court judgment. </w:t>
      </w:r>
    </w:p>
    <w:p>
      <w:pPr>
        <w:pStyle w:val="TextBody"/>
        <w:bidi w:val="0"/>
        <w:spacing w:before="240" w:after="0"/>
        <w:jc w:val="left"/>
        <w:rPr/>
      </w:pPr>
      <w:r>
        <w:rPr/>
        <w:t>“</w:t>
      </w:r>
      <w:r>
        <w:rPr>
          <w:rFonts w:ascii="Times New Roman" w:hAnsi="Times New Roman"/>
          <w:b/>
          <w:i/>
          <w:sz w:val="20"/>
        </w:rPr>
        <w:t>English Obligor</w:t>
      </w:r>
      <w:r>
        <w:rPr>
          <w:rFonts w:ascii="Times New Roman" w:hAnsi="Times New Roman"/>
          <w:sz w:val="20"/>
        </w:rPr>
        <w:t xml:space="preserve">” means any Obligor incorporated in England and Wales. </w:t>
      </w:r>
    </w:p>
    <w:p>
      <w:pPr>
        <w:pStyle w:val="TextBody"/>
        <w:bidi w:val="0"/>
        <w:spacing w:before="240" w:after="0"/>
        <w:jc w:val="left"/>
        <w:rPr/>
      </w:pPr>
      <w:r>
        <w:rPr/>
        <w:t>“</w:t>
      </w:r>
      <w:r>
        <w:rPr>
          <w:rFonts w:ascii="Times New Roman" w:hAnsi="Times New Roman"/>
          <w:b/>
          <w:i/>
          <w:sz w:val="20"/>
        </w:rPr>
        <w:t>Environmental Law</w:t>
      </w:r>
      <w:r>
        <w:rPr>
          <w:rFonts w:ascii="Times New Roman" w:hAnsi="Times New Roman"/>
          <w:sz w:val="20"/>
        </w:rPr>
        <w:t xml:space="preserve">” means any Law or Governmental Approval relating to pollution or protection of the environment or the treatment, storage, disposal, release, threatened release or handling of hazardous materials, and all local laws and regulations, whether U.S. or non-U.S., related to environmental matters and any specific agreements entered into with any competent authorities which include commitments related to environmental matters. </w:t>
      </w:r>
    </w:p>
    <w:p>
      <w:pPr>
        <w:pStyle w:val="TextBody"/>
        <w:bidi w:val="0"/>
        <w:spacing w:before="240" w:after="0"/>
        <w:jc w:val="left"/>
        <w:rPr/>
      </w:pPr>
      <w:r>
        <w:rPr/>
        <w:t>“</w:t>
      </w:r>
      <w:r>
        <w:rPr>
          <w:rFonts w:ascii="Times New Roman" w:hAnsi="Times New Roman"/>
          <w:b/>
          <w:i/>
          <w:sz w:val="20"/>
        </w:rPr>
        <w:t>Equity Interests</w:t>
      </w:r>
      <w:r>
        <w:rPr>
          <w:rFonts w:ascii="Times New Roman" w:hAnsi="Times New Roman"/>
          <w:sz w:val="20"/>
        </w:rPr>
        <w:t>” means, with respect to any Person (for purposes of this defined term, an “</w:t>
      </w:r>
      <w:r>
        <w:rPr>
          <w:rFonts w:ascii="Times New Roman" w:hAnsi="Times New Roman"/>
          <w:b/>
          <w:i/>
          <w:sz w:val="20"/>
        </w:rPr>
        <w:t>issuer</w:t>
      </w:r>
      <w:r>
        <w:rPr>
          <w:rFonts w:ascii="Times New Roman" w:hAnsi="Times New Roman"/>
          <w:sz w:val="20"/>
        </w:rPr>
        <w:t xml:space="preserve">”), all shares of, interests or participations in, or other equivalents in respect of such issuer’s capital stock, including all membership interests, partnership interests or equivalent, and all debt or other securities (including warrants, options and similar rights) directly or indirectly exchangeable, exercisable or otherwise convertible into, such issuer’s capital stock, whether now outstanding or issued after the Closing Date, and in each case, however classified or designated and whether voting or non-voting. </w:t>
      </w:r>
    </w:p>
    <w:p>
      <w:pPr>
        <w:pStyle w:val="TextBody"/>
        <w:bidi w:val="0"/>
        <w:spacing w:before="240" w:after="0"/>
        <w:jc w:val="left"/>
        <w:rPr/>
      </w:pPr>
      <w:r>
        <w:rPr/>
        <w:t>“</w:t>
      </w:r>
      <w:r>
        <w:rPr>
          <w:rFonts w:ascii="Times New Roman" w:hAnsi="Times New Roman"/>
          <w:b/>
          <w:i/>
          <w:sz w:val="20"/>
        </w:rPr>
        <w:t>Equivalent Amount</w:t>
      </w:r>
      <w:r>
        <w:rPr>
          <w:rFonts w:ascii="Times New Roman" w:hAnsi="Times New Roman"/>
          <w:sz w:val="20"/>
        </w:rPr>
        <w:t xml:space="preserve">” means, with respect to an amount denominated in a single currency, the amount in another currency that could be purchased by the amount in the former currency determined by reference to the Exchange Rate at the time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ERISA</w:t>
      </w:r>
      <w:r>
        <w:rPr>
          <w:rFonts w:ascii="Times New Roman" w:hAnsi="Times New Roman"/>
          <w:sz w:val="20"/>
        </w:rPr>
        <w:t xml:space="preserve">” means the United States Employee Retirement Income Security Act of 1974, as amended. </w:t>
      </w:r>
    </w:p>
    <w:p>
      <w:pPr>
        <w:pStyle w:val="TextBody"/>
        <w:bidi w:val="0"/>
        <w:spacing w:before="240" w:after="0"/>
        <w:jc w:val="left"/>
        <w:rPr/>
      </w:pPr>
      <w:r>
        <w:rPr/>
        <w:t>“</w:t>
      </w:r>
      <w:r>
        <w:rPr>
          <w:rFonts w:ascii="Times New Roman" w:hAnsi="Times New Roman"/>
          <w:b/>
          <w:i/>
          <w:sz w:val="20"/>
        </w:rPr>
        <w:t>ERISA Affiliate</w:t>
      </w:r>
      <w:r>
        <w:rPr>
          <w:rFonts w:ascii="Times New Roman" w:hAnsi="Times New Roman"/>
          <w:sz w:val="20"/>
        </w:rPr>
        <w:t xml:space="preserve">” means, collectively, any Obligor, the Issuer, any Subsidiary thereof, and any Person under common control, or treated as a single employer, with any Obligor, the Issuer, or Subsidiary thereof, within the meaning of Section 414(b), (c), (m) or (o) of the Code. </w:t>
      </w:r>
    </w:p>
    <w:p>
      <w:pPr>
        <w:pStyle w:val="TextBody"/>
        <w:bidi w:val="0"/>
        <w:spacing w:before="240" w:after="0"/>
        <w:jc w:val="left"/>
        <w:rPr/>
      </w:pPr>
      <w:r>
        <w:rPr/>
        <w:t>“</w:t>
      </w:r>
      <w:r>
        <w:rPr>
          <w:rFonts w:ascii="Times New Roman" w:hAnsi="Times New Roman"/>
          <w:b/>
          <w:i/>
          <w:sz w:val="20"/>
        </w:rPr>
        <w:t>ERISA Event</w:t>
      </w:r>
      <w:r>
        <w:rPr>
          <w:rFonts w:ascii="Times New Roman" w:hAnsi="Times New Roman"/>
          <w:sz w:val="20"/>
        </w:rPr>
        <w:t xml:space="preserve">” 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complete or partial withdrawal (within the meaning of Section 4203 and 4205 of ERISA) of any Obligor or any ERISA Affiliate thereof from any Multiemployer Plan, or the receipt by any Obligor or any ERISA Affiliate thereof of notice from any Multiemployer Plan that it is insolvent pursuant to Section 4245 of ERISA; (d) the filing of a notice of intent to terminate, the treatment of a plan amendment as a termination under Section 4041 or 4041A of ERISA, or the commencement of proceedings by the PBGC to terminate a Title IV Plan or Multiemployer Plan; (e) the imposition of liability on any Obligor or any ERISA Affiliate thereof pursuant to Sections 4062(e) or 4069 of ERISA or by reason of the application of Section 4212(c) of ERISA; (f) the failure by any Obligor or any ERISA Affiliate thereof to make any required contribution to a Multiemployer Plan, or the failure to meet the minimum funding standard of Section 412 or 430 of the Code or Section 302 or 303 of ERISA with respect to any Title IV Plan (whether or not waived) or the failure to make by its due date a required installment under Section 430 of the Code or Section 303 of ERISA with respect to any Title IV Plan or the failure to make any required contribution to a Multiemployer Plan; (g) the determination that any Title IV Plan is considered an at-risk plan or a plan in endangered to critical status within the meaning of Sections 430, 431 and 432 of the Code or Sections 303, 304 and 305 of ERISA; (h) an event or condition which could reasonably be expected to constitute grounds under Section 4042 of ERISA for the termination of, or the appointment of a trustee to administer, any Title IV Plan or Multiemployer Plan; (i) the imposition of any liability under Title I or Title IV of ERISA, other than PBGC premiums due but not delinquent under Section 4007 of ERISA, upon any Obligor or any ERISA Affiliate thereof; (j) an application for a funding waiver under Section 303 of ERISA or an extension of any amortization period pursuant to Section 412 of the Code with respect to any Title IV Plan; (k) the occurrence of a non-exempt prohibited transaction under Sections 406 or 407 of ERISA for which any Obligor or any Subsidiary thereof may be directly or indirectly liable; (l) receipt from the IRS of notice of the failure of any Qualified Plan to qualify under Section 401(a) of the Code, or the failure of any trust forming part of any Qualified Plan to fail to qualify for exemption from taxation under Section 501(a) of the Code; (m) the imposition of any Lien (or the fulfillment of the conditions for the imposition of any Lien) on any of the rights, properties or assets of any Obligor or any ERISA Affiliate thereof, in either case pursuant to Title I or Title IV of ERISA, including Section 302(f) or 303(k) of ERISA or to Section 401(a)(29) or 430(k) of the Code; or (n) any Foreign Benefit Event. </w:t>
      </w:r>
    </w:p>
    <w:p>
      <w:pPr>
        <w:pStyle w:val="TextBody"/>
        <w:bidi w:val="0"/>
        <w:spacing w:before="240" w:after="0"/>
        <w:jc w:val="left"/>
        <w:rPr/>
      </w:pPr>
      <w:r>
        <w:rPr/>
        <w:t>“</w:t>
      </w:r>
      <w:r>
        <w:rPr>
          <w:rFonts w:ascii="Times New Roman" w:hAnsi="Times New Roman"/>
          <w:b/>
          <w:i/>
          <w:sz w:val="20"/>
        </w:rPr>
        <w:t>ERISA Funding Rules</w:t>
      </w:r>
      <w:r>
        <w:rPr>
          <w:rFonts w:ascii="Times New Roman" w:hAnsi="Times New Roman"/>
          <w:sz w:val="20"/>
        </w:rPr>
        <w:t xml:space="preserve">” means the rules regarding minimum required contributions (including any installment payment thereof) to Title IV Plans, as set forth in Sections 412, 430, 431, 432 and 436 of the Code and Sections 302, 303, 304 and 305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i/>
          <w:sz w:val="20"/>
        </w:rPr>
        <w:t>EUIPO</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Exchange</w:t>
      </w:r>
      <w:r>
        <w:rPr>
          <w:rFonts w:ascii="Times New Roman" w:hAnsi="Times New Roman"/>
          <w:sz w:val="20"/>
        </w:rPr>
        <w:t xml:space="preserve">” means The International Stock Exchange (TISE).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i/>
          <w:sz w:val="20"/>
        </w:rPr>
        <w:t>Exchange Rate</w:t>
      </w:r>
      <w:r>
        <w:rPr>
          <w:rFonts w:ascii="Times New Roman" w:hAnsi="Times New Roman"/>
          <w:sz w:val="20"/>
        </w:rPr>
        <w:t>” means, as of any date of determination, the rate at which any currency may be exchanged into another currency, as set forth on the relevant Reuters screen at or about 11:00 a.m. (New York City time) on such date. In the event that such rate does not appear on the Reuters screen, the “</w:t>
      </w:r>
      <w:r>
        <w:rPr>
          <w:rFonts w:ascii="Times New Roman" w:hAnsi="Times New Roman"/>
          <w:b/>
          <w:i/>
          <w:sz w:val="20"/>
        </w:rPr>
        <w:t>Exchange Rate</w:t>
      </w:r>
      <w:r>
        <w:rPr>
          <w:rFonts w:ascii="Times New Roman" w:hAnsi="Times New Roman"/>
          <w:sz w:val="20"/>
        </w:rPr>
        <w:t xml:space="preserve">” shall be determined by reference to such other publicly available service for displaying exchange rates as may be reasonably agreed upon by the Issuer and the Administrative Agent (each acting in good faith) or, in the absence of such agreement within two (2) Business Days, such Exchange Rate shall instead be reasonably designated by the Administrative Agent. </w:t>
      </w:r>
    </w:p>
    <w:p>
      <w:pPr>
        <w:pStyle w:val="TextBody"/>
        <w:bidi w:val="0"/>
        <w:spacing w:before="240" w:after="0"/>
        <w:jc w:val="left"/>
        <w:rPr/>
      </w:pPr>
      <w:r>
        <w:rPr/>
        <w:t>“</w:t>
      </w:r>
      <w:r>
        <w:rPr>
          <w:rFonts w:ascii="Times New Roman" w:hAnsi="Times New Roman"/>
          <w:b/>
          <w:i/>
          <w:sz w:val="20"/>
        </w:rPr>
        <w:t>Excluded Account</w:t>
      </w:r>
      <w:r>
        <w:rPr>
          <w:rFonts w:ascii="Times New Roman" w:hAnsi="Times New Roman"/>
          <w:sz w:val="20"/>
        </w:rPr>
        <w:t xml:space="preserve">” means (a) deposit accounts of any Obligor used exclusively for payroll, payroll taxes and other employee wage and benefit payments; </w:t>
      </w:r>
      <w:r>
        <w:rPr>
          <w:rFonts w:ascii="Times New Roman" w:hAnsi="Times New Roman"/>
          <w:sz w:val="20"/>
          <w:u w:val="single"/>
        </w:rPr>
        <w:t>provided</w:t>
      </w:r>
      <w:r>
        <w:rPr>
          <w:rFonts w:ascii="Times New Roman" w:hAnsi="Times New Roman"/>
          <w:sz w:val="20"/>
        </w:rPr>
        <w:t xml:space="preserve"> that the aggregate balance in all such accounts do not exceed the amount necessary to make the next two cycles of payroll, payroll tax or applicable employee wage or benefit payments, (b) accounts with an aggregate balance not to exceed $500,000 at any time, (c) trust and escrow accounts maintained exclusively for the purposes of holding funds in trust for third parties to the extent not prohibited by the Notes Documents, and (d) cash collateral accounts which are subject to Liens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9.02(l)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Excluded Subsidiary</w:t>
      </w:r>
      <w:r>
        <w:rPr>
          <w:rFonts w:ascii="Times New Roman" w:hAnsi="Times New Roman"/>
          <w:sz w:val="20"/>
        </w:rPr>
        <w:t xml:space="preserve">” means (a) any Subsidiary that is not a wholly-owned Subsidiary that was created for reasonable business purposes and not with the purpose or intent of avoiding the obligation to become a Guarantor hereunder (but only for so long as such Subsidiary remains a non-wholly-owned Subsidiary), (b) any Immaterial Subsidiary, and (c) any Subsidiary that is prohibited from becoming a Guarantor by applicable Law; </w:t>
      </w:r>
      <w:r>
        <w:rPr>
          <w:rFonts w:ascii="Times New Roman" w:hAnsi="Times New Roman"/>
          <w:sz w:val="20"/>
          <w:u w:val="single"/>
        </w:rPr>
        <w:t>provided</w:t>
      </w:r>
      <w:r>
        <w:rPr>
          <w:rFonts w:ascii="Times New Roman" w:hAnsi="Times New Roman"/>
          <w:sz w:val="20"/>
        </w:rPr>
        <w:t xml:space="preserve"> that no Subsidiary that is a guarantor or a party under the Blackstone Collaboration Agreement, the BioNTech License Agreement or the UCLB License Agreement may be an Excluded Subsidiary. </w:t>
      </w:r>
    </w:p>
    <w:p>
      <w:pPr>
        <w:pStyle w:val="TextBody"/>
        <w:bidi w:val="0"/>
        <w:spacing w:before="240" w:after="0"/>
        <w:jc w:val="left"/>
        <w:rPr/>
      </w:pPr>
      <w:r>
        <w:rPr/>
        <w:t>“</w:t>
      </w:r>
      <w:r>
        <w:rPr>
          <w:rFonts w:ascii="Times New Roman" w:hAnsi="Times New Roman"/>
          <w:b/>
          <w:i/>
          <w:sz w:val="20"/>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Noteholder, its applicable booking office located in, the jurisdiction imposing such Tax (or any political subdivisions thereof) or (ii) that are Other Connection Taxes, (b) Taxes attributable to such Recipient’s failure to comply with </w:t>
      </w:r>
      <w:r>
        <w:rPr>
          <w:rFonts w:ascii="Times New Roman" w:hAnsi="Times New Roman"/>
          <w:b/>
          <w:sz w:val="20"/>
        </w:rPr>
        <w:t>Section</w:t>
      </w:r>
      <w:r>
        <w:rPr>
          <w:rFonts w:ascii="Times New Roman" w:hAnsi="Times New Roman"/>
          <w:sz w:val="20"/>
        </w:rPr>
        <w:t> </w:t>
      </w:r>
      <w:r>
        <w:rPr>
          <w:rFonts w:ascii="Times New Roman" w:hAnsi="Times New Roman"/>
          <w:b/>
          <w:sz w:val="20"/>
        </w:rPr>
        <w:t>5.03(f)</w:t>
      </w:r>
      <w:r>
        <w:rPr>
          <w:rFonts w:ascii="Times New Roman" w:hAnsi="Times New Roman"/>
          <w:sz w:val="20"/>
        </w:rPr>
        <w:t xml:space="preserve">, (c) any United Kingdom stamp duty or stamp duty reserve tax arising in connection with (i) any assignment, transfer or other alienation of the Notes or any rights or obligations under any Note Document (save to the extent such assignment, transfer or other alienation is requested by the Issuer) or (ii) to the extent not otherwise described in the preceding clause (i), the Warrant Certificates, and (d) any withholding Taxes imposed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Exclusive License</w:t>
      </w:r>
      <w:r>
        <w:rPr>
          <w:rFonts w:ascii="Times New Roman" w:hAnsi="Times New Roman"/>
          <w:sz w:val="20"/>
        </w:rPr>
        <w:t xml:space="preserve">” means any outbound license of Intellectual Property that is exclusive (whether as to use, field, geography or otherwise) that (a) has a term longer than twelve (12) months from the original effective date of such license and/or (b) is not subject to any automatic renewal right or obligation by the parties thereto. </w:t>
      </w:r>
    </w:p>
    <w:p>
      <w:pPr>
        <w:pStyle w:val="TextBody"/>
        <w:bidi w:val="0"/>
        <w:spacing w:before="240" w:after="0"/>
        <w:jc w:val="left"/>
        <w:rPr/>
      </w:pPr>
      <w:r>
        <w:rPr/>
        <w:t>“</w:t>
      </w:r>
      <w:r>
        <w:rPr>
          <w:rFonts w:ascii="Times New Roman" w:hAnsi="Times New Roman"/>
          <w:b/>
          <w:i/>
          <w:sz w:val="20"/>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pPr>
      <w:r>
        <w:rPr/>
        <w:t>“</w:t>
      </w:r>
      <w:r>
        <w:rPr>
          <w:rFonts w:ascii="Times New Roman" w:hAnsi="Times New Roman"/>
          <w:b/>
          <w:i/>
          <w:sz w:val="20"/>
        </w:rPr>
        <w:t>FD&amp;C Act</w:t>
      </w:r>
      <w:r>
        <w:rPr>
          <w:rFonts w:ascii="Times New Roman" w:hAnsi="Times New Roman"/>
          <w:sz w:val="20"/>
        </w:rPr>
        <w:t xml:space="preserve">” means the U.S. Food, Drug and Cosmetic Act of 1938 (21 U.S.C. §§ 301), as amended from time to time, and the regulations promulgated thereunder. </w:t>
      </w:r>
    </w:p>
    <w:p>
      <w:pPr>
        <w:pStyle w:val="TextBody"/>
        <w:bidi w:val="0"/>
        <w:spacing w:before="240" w:after="0"/>
        <w:jc w:val="left"/>
        <w:rPr/>
      </w:pPr>
      <w:r>
        <w:rPr/>
        <w:t>“</w:t>
      </w:r>
      <w:r>
        <w:rPr>
          <w:rFonts w:ascii="Times New Roman" w:hAnsi="Times New Roman"/>
          <w:b/>
          <w:i/>
          <w:sz w:val="20"/>
        </w:rPr>
        <w:t>FDA</w:t>
      </w:r>
      <w:r>
        <w:rPr>
          <w:rFonts w:ascii="Times New Roman" w:hAnsi="Times New Roman"/>
          <w:sz w:val="20"/>
        </w:rPr>
        <w:t xml:space="preserve">” means the U.S. Food and Drug Administration and any successor entity. </w:t>
      </w:r>
    </w:p>
    <w:p>
      <w:pPr>
        <w:pStyle w:val="TextBody"/>
        <w:bidi w:val="0"/>
        <w:spacing w:before="240" w:after="0"/>
        <w:jc w:val="left"/>
        <w:rPr/>
      </w:pPr>
      <w:r>
        <w:rPr/>
        <w:t>“</w:t>
      </w:r>
      <w:r>
        <w:rPr>
          <w:rFonts w:ascii="Times New Roman" w:hAnsi="Times New Roman"/>
          <w:b/>
          <w:i/>
          <w:sz w:val="20"/>
        </w:rPr>
        <w:t>Federal Funds Effective Rate</w:t>
      </w:r>
      <w:r>
        <w:rPr>
          <w:rFonts w:ascii="Times New Roman" w:hAnsi="Times New Roman"/>
          <w:sz w:val="20"/>
        </w:rPr>
        <w:t xml:space="preserve">” means, for any day, the greater of (a) the rate calculated by the Federal Reserve Bank of New York based on such day’s federal funds transactions by depositary institutions (as determined in such manner as the Federal Reserve Bank of New York sets forth on its public website from time to time) and published on the next succeeding Business Day by the Federal Reserve Bank of New York as the federal funds effective rate and (b) zero percent (0%). </w:t>
      </w:r>
    </w:p>
    <w:p>
      <w:pPr>
        <w:pStyle w:val="TextBody"/>
        <w:bidi w:val="0"/>
        <w:spacing w:before="240" w:after="0"/>
        <w:jc w:val="left"/>
        <w:rPr/>
      </w:pPr>
      <w:r>
        <w:rPr/>
        <w:t>“</w:t>
      </w:r>
      <w:r>
        <w:rPr>
          <w:rFonts w:ascii="Times New Roman" w:hAnsi="Times New Roman"/>
          <w:b/>
          <w:i/>
          <w:sz w:val="20"/>
        </w:rPr>
        <w:t>Fee Letter</w:t>
      </w:r>
      <w:r>
        <w:rPr>
          <w:rFonts w:ascii="Times New Roman" w:hAnsi="Times New Roman"/>
          <w:sz w:val="20"/>
        </w:rPr>
        <w:t xml:space="preserve">” means the Fee Letter, dated the Closing Date, between the Issuer and the Administrative Agent. </w:t>
      </w:r>
    </w:p>
    <w:p>
      <w:pPr>
        <w:pStyle w:val="TextBody"/>
        <w:bidi w:val="0"/>
        <w:spacing w:before="240" w:after="0"/>
        <w:jc w:val="left"/>
        <w:rPr/>
      </w:pPr>
      <w:r>
        <w:rPr/>
        <w:t>“</w:t>
      </w:r>
      <w:r>
        <w:rPr>
          <w:rFonts w:ascii="Times New Roman" w:hAnsi="Times New Roman"/>
          <w:b/>
          <w:i/>
          <w:sz w:val="20"/>
        </w:rPr>
        <w:t>FEMA</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8.12(c)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Financial Support Direction</w:t>
      </w:r>
      <w:r>
        <w:rPr>
          <w:rFonts w:ascii="Times New Roman" w:hAnsi="Times New Roman"/>
          <w:sz w:val="20"/>
        </w:rPr>
        <w:t xml:space="preserve">” means a financial support direction issued by the Pensions Regulator under section 43 of the UK Pensions Act 2004. </w:t>
      </w:r>
    </w:p>
    <w:p>
      <w:pPr>
        <w:pStyle w:val="TextBody"/>
        <w:bidi w:val="0"/>
        <w:spacing w:before="240" w:after="0"/>
        <w:jc w:val="left"/>
        <w:rPr/>
      </w:pPr>
      <w:r>
        <w:rPr/>
        <w:t>“</w:t>
      </w:r>
      <w:r>
        <w:rPr>
          <w:rFonts w:ascii="Times New Roman" w:hAnsi="Times New Roman"/>
          <w:b/>
          <w:i/>
          <w:sz w:val="20"/>
        </w:rPr>
        <w:t>First Interest Step Down Date</w:t>
      </w:r>
      <w:r>
        <w:rPr>
          <w:rFonts w:ascii="Times New Roman" w:hAnsi="Times New Roman"/>
          <w:sz w:val="20"/>
        </w:rPr>
        <w:t xml:space="preserve">” has the meaning set forth in the definition of “Applicable Margin”. </w:t>
      </w:r>
    </w:p>
    <w:p>
      <w:pPr>
        <w:pStyle w:val="TextBody"/>
        <w:bidi w:val="0"/>
        <w:spacing w:before="240" w:after="0"/>
        <w:jc w:val="left"/>
        <w:rPr/>
      </w:pPr>
      <w:r>
        <w:rPr/>
        <w:t>“</w:t>
      </w:r>
      <w:r>
        <w:rPr>
          <w:rFonts w:ascii="Times New Roman" w:hAnsi="Times New Roman"/>
          <w:b/>
          <w:i/>
          <w:sz w:val="20"/>
        </w:rPr>
        <w:t>Foreign Benefit Event</w:t>
      </w:r>
      <w:r>
        <w:rPr>
          <w:rFonts w:ascii="Times New Roman" w:hAnsi="Times New Roman"/>
          <w:sz w:val="20"/>
        </w:rPr>
        <w:t xml:space="preserve">” means, with respect to any Foreign Pension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written notice by a Governmental Authority relating to the termination of any such Foreign Pension Plan or to appoint a trustee or similar official to administer any such Foreign Pension Plan, or alleging the insolvency of any such Foreign Pension Plan, (d) the incurrence of any liability the Issuer or any of its Subsidiaries under applicable Law on account of the complete or partial termination of such Foreign Pension Plan or the complete or partial withdrawal of any participating employer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 the occurrence of any transaction that is prohibited under any applicable Law and that could reasonably be expected to result in the incurrence of any liability by the Issuer or any of its Subsidiaries, or the imposition on the Issuer or any of its Subsidiaries of any fine, excise tax or penalty resulting from any noncompliance with any applicable Law. </w:t>
      </w:r>
    </w:p>
    <w:p>
      <w:pPr>
        <w:pStyle w:val="TextBody"/>
        <w:bidi w:val="0"/>
        <w:spacing w:before="240" w:after="0"/>
        <w:jc w:val="left"/>
        <w:rPr/>
      </w:pPr>
      <w:r>
        <w:rPr/>
        <w:t>“</w:t>
      </w:r>
      <w:r>
        <w:rPr>
          <w:rFonts w:ascii="Times New Roman" w:hAnsi="Times New Roman"/>
          <w:b/>
          <w:i/>
          <w:sz w:val="20"/>
        </w:rPr>
        <w:t>Foreign Collateral Security Documents</w:t>
      </w:r>
      <w:r>
        <w:rPr>
          <w:rFonts w:ascii="Times New Roman" w:hAnsi="Times New Roman"/>
          <w:sz w:val="20"/>
        </w:rPr>
        <w:t xml:space="preserve">” means (a) the English Law Security Agreement, and (b) any other document evidencing or creating a Lien over any asset to secure any obligation of any Obligor to the Secured Parties under the Notes Documents. </w:t>
      </w:r>
    </w:p>
    <w:p>
      <w:pPr>
        <w:pStyle w:val="TextBody"/>
        <w:bidi w:val="0"/>
        <w:spacing w:before="240" w:after="0"/>
        <w:jc w:val="left"/>
        <w:rPr/>
      </w:pPr>
      <w:r>
        <w:rPr/>
        <w:t>“</w:t>
      </w:r>
      <w:r>
        <w:rPr>
          <w:rFonts w:ascii="Times New Roman" w:hAnsi="Times New Roman"/>
          <w:b/>
          <w:i/>
          <w:sz w:val="20"/>
        </w:rPr>
        <w:t>Foreign Pension Plan</w:t>
      </w:r>
      <w:r>
        <w:rPr>
          <w:rFonts w:ascii="Times New Roman" w:hAnsi="Times New Roman"/>
          <w:sz w:val="20"/>
        </w:rPr>
        <w:t xml:space="preserve">” means any benefit plan that under applicable Law, other than the Laws of the United States or any political subdivision thereof, is required to be funded through a trust or other funding vehicle other than a trust or funding vehicle maintained exclusively by a Governmental Authority. </w:t>
      </w:r>
    </w:p>
    <w:p>
      <w:pPr>
        <w:pStyle w:val="TextBody"/>
        <w:bidi w:val="0"/>
        <w:spacing w:before="240" w:after="0"/>
        <w:jc w:val="left"/>
        <w:rPr/>
      </w:pPr>
      <w:r>
        <w:rPr/>
        <w:t>“</w:t>
      </w:r>
      <w:r>
        <w:rPr>
          <w:rFonts w:ascii="Times New Roman" w:hAnsi="Times New Roman"/>
          <w:b/>
          <w:i/>
          <w:sz w:val="20"/>
        </w:rPr>
        <w:t>Foreign Real Property Security Document</w:t>
      </w:r>
      <w:r>
        <w:rPr>
          <w:rFonts w:ascii="Times New Roman" w:hAnsi="Times New Roman"/>
          <w:sz w:val="20"/>
        </w:rPr>
        <w:t xml:space="preserve">” means any Contract evidencing or creating a first ranking Lien over any Material Real Property or Future Acquired Material Real Property entered into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8.12</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8.19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Future Acquired Material Real Property</w:t>
      </w:r>
      <w:r>
        <w:rPr>
          <w:rFonts w:ascii="Times New Roman" w:hAnsi="Times New Roman"/>
          <w:sz w:val="20"/>
        </w:rPr>
        <w:t xml:space="preserve">” means any Material Real Property that is acquired or leased by the Issuer or any other Obligor (or by any Person required to become an Obligor hereunder) after the Closing Date. </w:t>
      </w:r>
    </w:p>
    <w:p>
      <w:pPr>
        <w:pStyle w:val="TextBody"/>
        <w:bidi w:val="0"/>
        <w:spacing w:before="240" w:after="0"/>
        <w:jc w:val="left"/>
        <w:rPr/>
      </w:pPr>
      <w:r>
        <w:rPr/>
        <w:t>“</w:t>
      </w:r>
      <w:r>
        <w:rPr>
          <w:rFonts w:ascii="Times New Roman" w:hAnsi="Times New Roman"/>
          <w:b/>
          <w:i/>
          <w:sz w:val="20"/>
        </w:rPr>
        <w:t>GAAP</w:t>
      </w:r>
      <w:r>
        <w:rPr>
          <w:rFonts w:ascii="Times New Roman" w:hAnsi="Times New Roman"/>
          <w:sz w:val="20"/>
        </w:rPr>
        <w:t xml:space="preserve">”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Unless otherwise mutually agreed upon by the Issuer and the Administrative Agent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1.02(b)</w:t>
      </w:r>
      <w:r>
        <w:rPr>
          <w:rFonts w:ascii="Times New Roman" w:hAnsi="Times New Roman"/>
          <w:sz w:val="20"/>
        </w:rPr>
        <w:t xml:space="preserve">, all references to “GAAP” used herein shall be to GAAP applied consistently with the principles used in the preparation of the financial statements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6.01(f)(i)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German Guarantor</w:t>
      </w:r>
      <w:r>
        <w:rPr>
          <w:rFonts w:ascii="Times New Roman" w:hAnsi="Times New Roman"/>
          <w:sz w:val="20"/>
        </w:rPr>
        <w:t xml:space="preserve">” means Autolus GmbH and any other Guarantor incorporated in the Federal Republic of Germany. </w:t>
      </w:r>
    </w:p>
    <w:p>
      <w:pPr>
        <w:pStyle w:val="TextBody"/>
        <w:bidi w:val="0"/>
        <w:spacing w:before="240" w:after="0"/>
        <w:jc w:val="left"/>
        <w:rPr/>
      </w:pPr>
      <w:r>
        <w:rPr/>
        <w:t>“</w:t>
      </w:r>
      <w:r>
        <w:rPr>
          <w:rFonts w:ascii="Times New Roman" w:hAnsi="Times New Roman"/>
          <w:b/>
          <w:i/>
          <w:sz w:val="20"/>
        </w:rPr>
        <w:t>German Insolvency Event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11.01(j)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German Legal Reservations</w:t>
      </w:r>
      <w:r>
        <w:rPr>
          <w:rFonts w:ascii="Times New Roman" w:hAnsi="Times New Roman"/>
          <w:sz w:val="20"/>
        </w:rPr>
        <w:t xml:space="preserve">” means, solely in respect of the German Guarantors: </w:t>
      </w:r>
    </w:p>
    <w:p>
      <w:pPr>
        <w:pStyle w:val="TextBody"/>
        <w:bidi w:val="0"/>
        <w:spacing w:before="120" w:after="0"/>
        <w:jc w:val="left"/>
        <w:rPr>
          <w:rFonts w:ascii="Times New Roman" w:hAnsi="Times New Roman"/>
          <w:sz w:val="20"/>
        </w:rPr>
      </w:pPr>
      <w:r>
        <w:rPr>
          <w:rFonts w:ascii="Times New Roman" w:hAnsi="Times New Roman"/>
          <w:sz w:val="20"/>
        </w:rPr>
        <w:t xml:space="preserve">(a) the principle that equitable remedies may be granted or refused at the discretion of a court, where applicable, the principles of reasonableness and fairness in relation to the exercising of rights and discretions, and the limitation of enforcement by laws relating to insolvency, reorganisation and other laws generally affecting the rights of creditors; </w:t>
      </w:r>
    </w:p>
    <w:p>
      <w:pPr>
        <w:pStyle w:val="TextBody"/>
        <w:bidi w:val="0"/>
        <w:spacing w:before="120" w:after="0"/>
        <w:jc w:val="left"/>
        <w:rPr>
          <w:rFonts w:ascii="Times New Roman" w:hAnsi="Times New Roman"/>
          <w:sz w:val="20"/>
        </w:rPr>
      </w:pPr>
      <w:r>
        <w:rPr>
          <w:rFonts w:ascii="Times New Roman" w:hAnsi="Times New Roman"/>
          <w:sz w:val="20"/>
        </w:rPr>
        <w:t xml:space="preserve">(b) the principle that any provision for the payment of compensation or additional interest which is not a genuine pre-estimate of loss may be unenforceable on the grounds that it is a penalty and thus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limitations arising from German law on the validity and enforceability of indemnification obligations, including without limitation the exclusion of indemnification for gross negligence or willful misconduct; </w:t>
      </w:r>
    </w:p>
    <w:p>
      <w:pPr>
        <w:pStyle w:val="TextBody"/>
        <w:bidi w:val="0"/>
        <w:spacing w:before="120" w:after="0"/>
        <w:jc w:val="left"/>
        <w:rPr>
          <w:rFonts w:ascii="Times New Roman" w:hAnsi="Times New Roman"/>
          <w:sz w:val="20"/>
        </w:rPr>
      </w:pPr>
      <w:r>
        <w:rPr>
          <w:rFonts w:ascii="Times New Roman" w:hAnsi="Times New Roman"/>
          <w:sz w:val="20"/>
        </w:rPr>
        <w:t xml:space="preserve">(d) any flaw in the legality or enforceability of any security under a Note Document which is governed by the laws of the jurisdiction of organisation of the company granting such Security insofar as such Security is granted over the shares in a company incorporated, formed or organized in a different jurisdiction under the laws of that company’s jurisdiction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(e) any other matters which are set out as qualifications or reservations as to matters of law of general application in the legal opinions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6.01(m)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the principles of private and procedural laws of the applicable jurisdiction which affect the recognition and enforcement of a foreign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(g) the limitation of enforcement by laws relating to insolvency, reorganization and other laws generally affecting the rights of creditors (including capital maintenance rules); </w:t>
      </w:r>
    </w:p>
    <w:p>
      <w:pPr>
        <w:pStyle w:val="TextBody"/>
        <w:bidi w:val="0"/>
        <w:spacing w:before="120" w:after="0"/>
        <w:jc w:val="left"/>
        <w:rPr>
          <w:rFonts w:ascii="Times New Roman" w:hAnsi="Times New Roman"/>
          <w:sz w:val="20"/>
        </w:rPr>
      </w:pPr>
      <w:r>
        <w:rPr>
          <w:rFonts w:ascii="Times New Roman" w:hAnsi="Times New Roman"/>
          <w:sz w:val="20"/>
        </w:rPr>
        <w:t>(h) the limitation arising from sections 118, 138, 242, 248, 314, 489 and 826 BGB (</w:t>
      </w:r>
      <w:r>
        <w:rPr>
          <w:rFonts w:ascii="Times New Roman" w:hAnsi="Times New Roman"/>
          <w:i/>
          <w:sz w:val="20"/>
        </w:rPr>
        <w:t>German Civil Code</w:t>
      </w:r>
      <w:r>
        <w:rPr>
          <w:rFonts w:ascii="Times New Roman" w:hAnsi="Times New Roman"/>
          <w:sz w:val="20"/>
        </w:rPr>
        <w:t>), section 328 ZPO (</w:t>
      </w:r>
      <w:r>
        <w:rPr>
          <w:rFonts w:ascii="Times New Roman" w:hAnsi="Times New Roman"/>
          <w:i/>
          <w:sz w:val="20"/>
        </w:rPr>
        <w:t>German Code of Civil Procedure</w:t>
      </w:r>
      <w:r>
        <w:rPr>
          <w:rFonts w:ascii="Times New Roman" w:hAnsi="Times New Roman"/>
          <w:sz w:val="20"/>
        </w:rPr>
        <w:t>), Article 43 para 1 EGBGB (</w:t>
      </w:r>
      <w:r>
        <w:rPr>
          <w:rFonts w:ascii="Times New Roman" w:hAnsi="Times New Roman"/>
          <w:i/>
          <w:sz w:val="20"/>
        </w:rPr>
        <w:t>Introductory Act to the German Civil Code</w:t>
      </w:r>
      <w:r>
        <w:rPr>
          <w:rFonts w:ascii="Times New Roman" w:hAnsi="Times New Roman"/>
          <w:sz w:val="20"/>
        </w:rPr>
        <w:t>), section 354a para 1 HGB (</w:t>
      </w:r>
      <w:r>
        <w:rPr>
          <w:rFonts w:ascii="Times New Roman" w:hAnsi="Times New Roman"/>
          <w:i/>
          <w:sz w:val="20"/>
        </w:rPr>
        <w:t>German Commercial Code</w:t>
      </w:r>
      <w:r>
        <w:rPr>
          <w:rFonts w:ascii="Times New Roman" w:hAnsi="Times New Roman"/>
          <w:sz w:val="20"/>
        </w:rPr>
        <w:t xml:space="preserve">) and notarial form requirements; </w:t>
      </w:r>
    </w:p>
    <w:p>
      <w:pPr>
        <w:pStyle w:val="TextBody"/>
        <w:bidi w:val="0"/>
        <w:spacing w:before="120" w:after="0"/>
        <w:jc w:val="left"/>
        <w:rPr>
          <w:rFonts w:ascii="Times New Roman" w:hAnsi="Times New Roman"/>
          <w:sz w:val="20"/>
        </w:rPr>
      </w:pPr>
      <w:r>
        <w:rPr>
          <w:rFonts w:ascii="Times New Roman" w:hAnsi="Times New Roman"/>
          <w:sz w:val="20"/>
        </w:rPr>
        <w:t>(i) the time barring of claims under the BGB (</w:t>
      </w:r>
      <w:r>
        <w:rPr>
          <w:rFonts w:ascii="Times New Roman" w:hAnsi="Times New Roman"/>
          <w:i/>
          <w:sz w:val="20"/>
        </w:rPr>
        <w:t>German Civil Code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the principle that security interests are subject to the </w:t>
      </w:r>
      <w:r>
        <w:rPr>
          <w:rFonts w:ascii="Times New Roman" w:hAnsi="Times New Roman"/>
          <w:i/>
          <w:sz w:val="20"/>
        </w:rPr>
        <w:t>lex rei sitae</w:t>
      </w:r>
      <w:r>
        <w:rPr>
          <w:rFonts w:ascii="Times New Roman" w:hAnsi="Times New Roman"/>
          <w:sz w:val="20"/>
        </w:rPr>
        <w:t xml:space="preserve"> (i.e. the law of the state within the territory of which the relevant collateral is located); </w:t>
      </w:r>
    </w:p>
    <w:p>
      <w:pPr>
        <w:pStyle w:val="TextBody"/>
        <w:bidi w:val="0"/>
        <w:spacing w:before="120" w:after="0"/>
        <w:jc w:val="left"/>
        <w:rPr>
          <w:rFonts w:ascii="Times New Roman" w:hAnsi="Times New Roman"/>
          <w:sz w:val="20"/>
        </w:rPr>
      </w:pPr>
      <w:r>
        <w:rPr>
          <w:rFonts w:ascii="Times New Roman" w:hAnsi="Times New Roman"/>
          <w:sz w:val="20"/>
        </w:rPr>
        <w:t xml:space="preserve">(k) the defences of set-off or counterclaim; </w:t>
      </w:r>
    </w:p>
    <w:p>
      <w:pPr>
        <w:pStyle w:val="TextBody"/>
        <w:bidi w:val="0"/>
        <w:spacing w:before="120" w:after="0"/>
        <w:jc w:val="left"/>
        <w:rPr>
          <w:rFonts w:ascii="Times New Roman" w:hAnsi="Times New Roman"/>
          <w:sz w:val="20"/>
        </w:rPr>
      </w:pPr>
      <w:r>
        <w:rPr>
          <w:rFonts w:ascii="Times New Roman" w:hAnsi="Times New Roman"/>
          <w:sz w:val="20"/>
        </w:rPr>
        <w:t>(l) the German law principles necessary to take valid security over Collateral, including but not limited to the principles of substantiation (</w:t>
      </w:r>
      <w:r>
        <w:rPr>
          <w:rFonts w:ascii="Times New Roman" w:hAnsi="Times New Roman"/>
          <w:i/>
          <w:sz w:val="20"/>
        </w:rPr>
        <w:t>Bestimmtheitsgrundsatz</w:t>
      </w:r>
      <w:r>
        <w:rPr>
          <w:rFonts w:ascii="Times New Roman" w:hAnsi="Times New Roman"/>
          <w:sz w:val="20"/>
        </w:rPr>
        <w:t>), priority (</w:t>
      </w:r>
      <w:r>
        <w:rPr>
          <w:rFonts w:ascii="Times New Roman" w:hAnsi="Times New Roman"/>
          <w:i/>
          <w:sz w:val="20"/>
        </w:rPr>
        <w:t>Prioritätsgrundsatz</w:t>
      </w:r>
      <w:r>
        <w:rPr>
          <w:rFonts w:ascii="Times New Roman" w:hAnsi="Times New Roman"/>
          <w:sz w:val="20"/>
        </w:rPr>
        <w:t>) and accessoriness (</w:t>
      </w:r>
      <w:r>
        <w:rPr>
          <w:rFonts w:ascii="Times New Roman" w:hAnsi="Times New Roman"/>
          <w:i/>
          <w:sz w:val="20"/>
        </w:rPr>
        <w:t>Akzessorietät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the German law principles relating to the enforcement of security interests, including without limitation the applicable rules of procedure and enforcement; and </w:t>
      </w:r>
    </w:p>
    <w:p>
      <w:pPr>
        <w:pStyle w:val="TextBody"/>
        <w:bidi w:val="0"/>
        <w:spacing w:before="120" w:after="0"/>
        <w:jc w:val="left"/>
        <w:rPr>
          <w:rFonts w:ascii="Times New Roman" w:hAnsi="Times New Roman"/>
          <w:sz w:val="20"/>
        </w:rPr>
      </w:pPr>
      <w:r>
        <w:rPr>
          <w:rFonts w:ascii="Times New Roman" w:hAnsi="Times New Roman"/>
          <w:sz w:val="20"/>
        </w:rPr>
        <w:t xml:space="preserve">(n) the limitation that the validity, binding effect or enforceability of any obligation or security interest may be limited by any mandatory provisions of German law governing the creation, attachment, perfection or proprietary effect of such security interest. </w:t>
      </w:r>
    </w:p>
    <w:p>
      <w:pPr>
        <w:pStyle w:val="TextBody"/>
        <w:bidi w:val="0"/>
        <w:spacing w:before="240" w:after="0"/>
        <w:jc w:val="left"/>
        <w:rPr/>
      </w:pPr>
      <w:r>
        <w:rPr/>
        <w:t>“</w:t>
      </w:r>
      <w:r>
        <w:rPr>
          <w:rFonts w:ascii="Times New Roman" w:hAnsi="Times New Roman"/>
          <w:b/>
          <w:i/>
          <w:sz w:val="20"/>
        </w:rPr>
        <w:t>Governmental Approval</w:t>
      </w:r>
      <w:r>
        <w:rPr>
          <w:rFonts w:ascii="Times New Roman" w:hAnsi="Times New Roman"/>
          <w:sz w:val="20"/>
        </w:rPr>
        <w:t xml:space="preserve">” means any consent, Authorisation, approval, order, license, franchise, permit (including any Healthcare Permit), certification, accreditation, registration, clearance, exemption, filing or notice that is issued or granted by any Governmental Authority pursuant to or in connection with any Law (including any Healthcare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Governmental Authority</w:t>
      </w:r>
      <w:r>
        <w:rPr>
          <w:rFonts w:ascii="Times New Roman" w:hAnsi="Times New Roman"/>
          <w:sz w:val="20"/>
        </w:rPr>
        <w:t xml:space="preserve">” means any nation, government, or branch of power (whether executive, legislative, or judicial), state, province,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of any state, territory, county, city, or other political subdivision of any country, whether U.S. or non-U.S., including the FDA and any other agency, branch, or governmental body with regulatory, supervisory, or administrative authority over, or charged with administering or enforcing, any Healthcare Laws or issuing or approving any Healthcare Permits. </w:t>
      </w:r>
    </w:p>
    <w:p>
      <w:pPr>
        <w:pStyle w:val="TextBody"/>
        <w:bidi w:val="0"/>
        <w:spacing w:before="240" w:after="0"/>
        <w:jc w:val="left"/>
        <w:rPr/>
      </w:pPr>
      <w:r>
        <w:rPr/>
        <w:t>“</w:t>
      </w:r>
      <w:r>
        <w:rPr>
          <w:rFonts w:ascii="Times New Roman" w:hAnsi="Times New Roman"/>
          <w:b/>
          <w:i/>
          <w:sz w:val="20"/>
        </w:rPr>
        <w:t>Guarantee</w:t>
      </w:r>
      <w:r>
        <w:rPr>
          <w:rFonts w:ascii="Times New Roman" w:hAnsi="Times New Roman"/>
          <w:sz w:val="20"/>
        </w:rPr>
        <w:t>” of or by any Person (the “</w:t>
      </w:r>
      <w:r>
        <w:rPr>
          <w:rFonts w:ascii="Times New Roman" w:hAnsi="Times New Roman"/>
          <w:b/>
          <w:i/>
          <w:sz w:val="20"/>
        </w:rPr>
        <w:t>guarantor</w:t>
      </w:r>
      <w:r>
        <w:rPr>
          <w:rFonts w:ascii="Times New Roman" w:hAnsi="Times New Roman"/>
          <w:sz w:val="20"/>
        </w:rPr>
        <w:t>”) means any obligation, contingent or otherwise, of the guarantor guaranteeing or having the economic effect of guaranteeing any Indebtedness or other monetary obligation of any other Person (the “</w:t>
      </w:r>
      <w:r>
        <w:rPr>
          <w:rFonts w:ascii="Times New Roman" w:hAnsi="Times New Roman"/>
          <w:b/>
          <w:i/>
          <w:sz w:val="20"/>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w:t>
      </w:r>
    </w:p>
    <w:p>
      <w:pPr>
        <w:pStyle w:val="TextBody"/>
        <w:bidi w:val="0"/>
        <w:spacing w:before="240" w:after="0"/>
        <w:jc w:val="left"/>
        <w:rPr/>
      </w:pPr>
      <w:r>
        <w:rPr/>
        <w:t>“</w:t>
      </w:r>
      <w:r>
        <w:rPr>
          <w:rFonts w:ascii="Times New Roman" w:hAnsi="Times New Roman"/>
          <w:b/>
          <w:i/>
          <w:sz w:val="20"/>
        </w:rPr>
        <w:t>Guarantee Assumption Agreement</w:t>
      </w:r>
      <w:r>
        <w:rPr>
          <w:rFonts w:ascii="Times New Roman" w:hAnsi="Times New Roman"/>
          <w:sz w:val="20"/>
        </w:rPr>
        <w:t xml:space="preserve">” means a Guarantee Assumption Agreement substantially in the form of </w:t>
      </w:r>
      <w:r>
        <w:rPr>
          <w:rFonts w:ascii="Times New Roman" w:hAnsi="Times New Roman"/>
          <w:b/>
          <w:sz w:val="20"/>
        </w:rPr>
        <w:t>Exhibit C</w:t>
      </w:r>
      <w:r>
        <w:rPr>
          <w:rFonts w:ascii="Times New Roman" w:hAnsi="Times New Roman"/>
          <w:sz w:val="20"/>
        </w:rPr>
        <w:t xml:space="preserve">, executed by any entity that,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8.12</w:t>
      </w:r>
      <w:r>
        <w:rPr>
          <w:rFonts w:ascii="Times New Roman" w:hAnsi="Times New Roman"/>
          <w:sz w:val="20"/>
        </w:rPr>
        <w:t xml:space="preserve"> is required to become a “Guarantor”. </w:t>
      </w:r>
    </w:p>
    <w:p>
      <w:pPr>
        <w:pStyle w:val="TextBody"/>
        <w:bidi w:val="0"/>
        <w:spacing w:before="240" w:after="0"/>
        <w:jc w:val="left"/>
        <w:rPr/>
      </w:pPr>
      <w:r>
        <w:rPr/>
        <w:t>“</w:t>
      </w:r>
      <w:r>
        <w:rPr>
          <w:rFonts w:ascii="Times New Roman" w:hAnsi="Times New Roman"/>
          <w:b/>
          <w:i/>
          <w:sz w:val="20"/>
        </w:rPr>
        <w:t>Guaranteed Obligations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Guarantor</w:t>
      </w:r>
      <w:r>
        <w:rPr>
          <w:rFonts w:ascii="Times New Roman" w:hAnsi="Times New Roman"/>
          <w:sz w:val="20"/>
        </w:rPr>
        <w:t xml:space="preserve">” means, initially as of the Closing Date, each Subsidiary of the Issuer identified under the caption “GUARANTORS” on the signature pages hereto and, thereafter, each Subsidiary of the Issuer and/or such Guarantors (i.e. the Guarantors as of the Closing Date) that becomes, or is required to become, a “Subsidiary” after the Closing Date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Hazardous Material</w:t>
      </w:r>
      <w:r>
        <w:rPr>
          <w:rFonts w:ascii="Times New Roman" w:hAnsi="Times New Roman"/>
          <w:sz w:val="20"/>
        </w:rPr>
        <w:t xml:space="preserve">” means any substance, element,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 </w:t>
      </w:r>
    </w:p>
    <w:p>
      <w:pPr>
        <w:pStyle w:val="TextBody"/>
        <w:bidi w:val="0"/>
        <w:spacing w:before="240" w:after="0"/>
        <w:jc w:val="left"/>
        <w:rPr/>
      </w:pPr>
      <w:r>
        <w:rPr/>
        <w:t>“</w:t>
      </w:r>
      <w:r>
        <w:rPr>
          <w:rFonts w:ascii="Times New Roman" w:hAnsi="Times New Roman"/>
          <w:b/>
          <w:i/>
          <w:sz w:val="20"/>
        </w:rPr>
        <w:t>Headlease</w:t>
      </w:r>
      <w:r>
        <w:rPr>
          <w:rFonts w:ascii="Times New Roman" w:hAnsi="Times New Roman"/>
          <w:sz w:val="20"/>
        </w:rPr>
        <w:t xml:space="preserve">” means a lease under which an Obligor holds an interest as tenant in all or any part of a Material Real Property or Future Acquired Material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Healthcare Laws</w:t>
      </w:r>
      <w:r>
        <w:rPr>
          <w:rFonts w:ascii="Times New Roman" w:hAnsi="Times New Roman"/>
          <w:sz w:val="20"/>
        </w:rPr>
        <w:t xml:space="preserve">” means all applicable healthcare Laws, whether U.S. or non-U.S., the federal Anti-kickback Statute (42 U.S.C. § 1320a-7b(b)), the Physician Payments Sunshine Act (42 U.S.C. § 1320a-7h), the civil False Claims Act (31 U.S.C. §§ 3729 et seq.), the criminal False Claims Act (42 U.S.C. § 1320a-7b(a)), all criminal laws relating to health care fraud and abuse, including 18 U.S.C. Sections 286, 287, 1035, 1347 and 1349, the exclusion law (42 U.S.C. § 1320a-7), the civil monetary penalties law (42 U.S.C. § 1320a-7a), Health Insurance Portability and Accountability Act of 1996 (42 U.S.C. §§ 1320d et seq.), as amended by the Health Information Technology for Economic and Clinical Health Act (42 U.S.C. §§ 17921 et seq.), the FD&amp;C Act, the statutes, regulations and binding directives of applicable federal healthcare programs, including Medicare (Title XVIII of the Social Security Act), Medicaid (Title XIX of the Social Security Act),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 any rules and regulations promulgated pursuant to the statutes listed herein and any and all comparable U.S. and non-U.S. Laws and other applicable healthcare laws and regulations. </w:t>
      </w:r>
    </w:p>
    <w:p>
      <w:pPr>
        <w:pStyle w:val="TextBody"/>
        <w:bidi w:val="0"/>
        <w:spacing w:before="240" w:after="0"/>
        <w:jc w:val="left"/>
        <w:rPr/>
      </w:pPr>
      <w:r>
        <w:rPr/>
        <w:t>“</w:t>
      </w:r>
      <w:r>
        <w:rPr>
          <w:rFonts w:ascii="Times New Roman" w:hAnsi="Times New Roman"/>
          <w:b/>
          <w:i/>
          <w:sz w:val="20"/>
        </w:rPr>
        <w:t>Healthcare Permit</w:t>
      </w:r>
      <w:r>
        <w:rPr>
          <w:rFonts w:ascii="Times New Roman" w:hAnsi="Times New Roman"/>
          <w:sz w:val="20"/>
        </w:rPr>
        <w:t xml:space="preserve">” means, with respect to any Person and with respect to its ordinary course business or commercial activities (including the commercialization and development of its products), any Governmental Approval (a) issued or required under any Healthcare Laws applicable to such activities of such Person, or (b) issued to such Person or required to be held by such Person under any Healthcare Laws with respect to its ordinary course business or commercial activities (including the commercialization and development of its products). </w:t>
      </w:r>
    </w:p>
    <w:p>
      <w:pPr>
        <w:pStyle w:val="TextBody"/>
        <w:bidi w:val="0"/>
        <w:spacing w:before="240" w:after="0"/>
        <w:jc w:val="left"/>
        <w:rPr/>
      </w:pPr>
      <w:r>
        <w:rPr/>
        <w:t>“</w:t>
      </w:r>
      <w:r>
        <w:rPr>
          <w:rFonts w:ascii="Times New Roman" w:hAnsi="Times New Roman"/>
          <w:b/>
          <w:i/>
          <w:sz w:val="20"/>
        </w:rPr>
        <w:t>Hedging Agreement</w:t>
      </w:r>
      <w:r>
        <w:rPr>
          <w:rFonts w:ascii="Times New Roman" w:hAnsi="Times New Roman"/>
          <w:sz w:val="20"/>
        </w:rPr>
        <w:t xml:space="preserve">” means any interest rate exchange agreement, foreign currency exchange agreement, commodity price protection agreement or other interest or currency exchange rate or commodity price hedging arrangement. </w:t>
      </w:r>
    </w:p>
    <w:p>
      <w:pPr>
        <w:pStyle w:val="TextBody"/>
        <w:bidi w:val="0"/>
        <w:spacing w:before="240" w:after="0"/>
        <w:jc w:val="left"/>
        <w:rPr/>
      </w:pPr>
      <w:r>
        <w:rPr/>
        <w:t>“</w:t>
      </w:r>
      <w:r>
        <w:rPr>
          <w:rFonts w:ascii="Times New Roman" w:hAnsi="Times New Roman"/>
          <w:b/>
          <w:i/>
          <w:sz w:val="20"/>
        </w:rPr>
        <w:t xml:space="preserve">HM Land Registry” </w:t>
      </w:r>
      <w:r>
        <w:rPr>
          <w:rFonts w:ascii="Times New Roman" w:hAnsi="Times New Roman"/>
          <w:sz w:val="20"/>
        </w:rPr>
        <w:t xml:space="preserve">means His Majesty’s Land Registry of England and Wales. </w:t>
      </w:r>
    </w:p>
    <w:p>
      <w:pPr>
        <w:pStyle w:val="TextBody"/>
        <w:bidi w:val="0"/>
        <w:spacing w:before="240" w:after="0"/>
        <w:jc w:val="left"/>
        <w:rPr/>
      </w:pPr>
      <w:r>
        <w:rPr/>
        <w:t>“</w:t>
      </w:r>
      <w:r>
        <w:rPr>
          <w:rFonts w:ascii="Times New Roman" w:hAnsi="Times New Roman"/>
          <w:b/>
          <w:i/>
          <w:sz w:val="20"/>
        </w:rPr>
        <w:t>Immaterial Subsidiary</w:t>
      </w:r>
      <w:r>
        <w:rPr>
          <w:rFonts w:ascii="Times New Roman" w:hAnsi="Times New Roman"/>
          <w:sz w:val="20"/>
        </w:rPr>
        <w:t xml:space="preserve">” means, as of any date of determination, any Subsidiary of an Obligor (a) the assets of which does not exceed 5.0% of the consolidated assets of the Issuer and its Subsidiaries as set forth in the financial statements most recently delivered pursuant to </w:t>
      </w:r>
      <w:r>
        <w:rPr>
          <w:rFonts w:ascii="Times New Roman" w:hAnsi="Times New Roman"/>
          <w:b/>
          <w:sz w:val="20"/>
        </w:rPr>
        <w:t>Sections 6.01</w:t>
      </w:r>
      <w:r>
        <w:rPr>
          <w:rFonts w:ascii="Times New Roman" w:hAnsi="Times New Roman"/>
          <w:sz w:val="20"/>
        </w:rPr>
        <w:t xml:space="preserve">, </w:t>
      </w:r>
      <w:r>
        <w:rPr>
          <w:rFonts w:ascii="Times New Roman" w:hAnsi="Times New Roman"/>
          <w:b/>
          <w:sz w:val="20"/>
        </w:rPr>
        <w:t>8.01(a)</w:t>
      </w:r>
      <w:r>
        <w:rPr>
          <w:rFonts w:ascii="Times New Roman" w:hAnsi="Times New Roman"/>
          <w:sz w:val="20"/>
        </w:rPr>
        <w:t xml:space="preserve"> or </w:t>
      </w:r>
      <w:r>
        <w:rPr>
          <w:rFonts w:ascii="Times New Roman" w:hAnsi="Times New Roman"/>
          <w:b/>
          <w:sz w:val="20"/>
        </w:rPr>
        <w:t>8.01(b)</w:t>
      </w:r>
      <w:r>
        <w:rPr>
          <w:rFonts w:ascii="Times New Roman" w:hAnsi="Times New Roman"/>
          <w:sz w:val="20"/>
        </w:rPr>
        <w:t xml:space="preserve">, as applicable, and (b) the revenues of which does not exceed 5.0% of the consolidated revenues of the Issuer and its Subsidiaries as set forth in the financial statements most recently delivered pursuant to </w:t>
      </w:r>
      <w:r>
        <w:rPr>
          <w:rFonts w:ascii="Times New Roman" w:hAnsi="Times New Roman"/>
          <w:b/>
          <w:sz w:val="20"/>
        </w:rPr>
        <w:t>Sections 6.01</w:t>
      </w:r>
      <w:r>
        <w:rPr>
          <w:rFonts w:ascii="Times New Roman" w:hAnsi="Times New Roman"/>
          <w:sz w:val="20"/>
        </w:rPr>
        <w:t xml:space="preserve">, </w:t>
      </w:r>
      <w:r>
        <w:rPr>
          <w:rFonts w:ascii="Times New Roman" w:hAnsi="Times New Roman"/>
          <w:b/>
          <w:sz w:val="20"/>
        </w:rPr>
        <w:t>8.01(a)</w:t>
      </w:r>
      <w:r>
        <w:rPr>
          <w:rFonts w:ascii="Times New Roman" w:hAnsi="Times New Roman"/>
          <w:sz w:val="20"/>
        </w:rPr>
        <w:t xml:space="preserve"> or </w:t>
      </w:r>
      <w:r>
        <w:rPr>
          <w:rFonts w:ascii="Times New Roman" w:hAnsi="Times New Roman"/>
          <w:b/>
          <w:sz w:val="20"/>
        </w:rPr>
        <w:t>8.01(b)</w:t>
      </w:r>
      <w:r>
        <w:rPr>
          <w:rFonts w:ascii="Times New Roman" w:hAnsi="Times New Roman"/>
          <w:sz w:val="20"/>
        </w:rPr>
        <w:t xml:space="preserve">, as applicable; </w:t>
      </w:r>
      <w:r>
        <w:rPr>
          <w:rFonts w:ascii="Times New Roman" w:hAnsi="Times New Roman"/>
          <w:sz w:val="20"/>
          <w:u w:val="single"/>
        </w:rPr>
        <w:t>provided</w:t>
      </w:r>
      <w:r>
        <w:rPr>
          <w:rFonts w:ascii="Times New Roman" w:hAnsi="Times New Roman"/>
          <w:sz w:val="20"/>
        </w:rPr>
        <w:t xml:space="preserve"> that no Subsidiary of the Obligors shall qualify as an Immaterial Subsidiary if the assets or revenue of such Subsidiary taken together with the consolidated assets or revenue of all then existing Immaterial Subsidiaries exceeds 10.0% of the consolidated assets or revenue, as applicable, of the Issuer and its Subsidiaries. </w:t>
      </w:r>
    </w:p>
    <w:p>
      <w:pPr>
        <w:pStyle w:val="TextBody"/>
        <w:bidi w:val="0"/>
        <w:spacing w:before="240" w:after="0"/>
        <w:jc w:val="left"/>
        <w:rPr/>
      </w:pPr>
      <w:r>
        <w:rPr/>
        <w:t>“</w:t>
      </w:r>
      <w:r>
        <w:rPr>
          <w:rFonts w:ascii="Times New Roman" w:hAnsi="Times New Roman"/>
          <w:b/>
          <w:i/>
          <w:sz w:val="20"/>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(excluding trade account payables), (d) all obligations of such Person under conditional sale or other title retention agreements relating to property acquired by such Person, (e) all obligations of such Person in respect of the deferred purchase price of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services ((i) excluding accounts payable incurred in the ordinary course of business, but (ii) including earn-out payments, purchase price adjustments and similar contingent payment obligations relating to any Acquisition (such obligations arising pursuant to </w:t>
      </w:r>
      <w:r>
        <w:rPr>
          <w:rFonts w:ascii="Times New Roman" w:hAnsi="Times New Roman"/>
          <w:b/>
          <w:sz w:val="20"/>
        </w:rPr>
        <w:t>clause (ii)</w:t>
      </w:r>
      <w:r>
        <w:rPr>
          <w:rFonts w:ascii="Times New Roman" w:hAnsi="Times New Roman"/>
          <w:sz w:val="20"/>
        </w:rPr>
        <w:t>, collectively, “</w:t>
      </w:r>
      <w:r>
        <w:rPr>
          <w:rFonts w:ascii="Times New Roman" w:hAnsi="Times New Roman"/>
          <w:b/>
          <w:i/>
          <w:sz w:val="20"/>
        </w:rPr>
        <w:t>Contingent Acquisition Obligations</w:t>
      </w:r>
      <w:r>
        <w:rPr>
          <w:rFonts w:ascii="Times New Roman" w:hAnsi="Times New Roman"/>
          <w:sz w:val="20"/>
        </w:rPr>
        <w:t xml:space="preserve">”)),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that are not otherwise cash collateralized, (l) all obligations of such Person under license or other agreements containing a guaranteed minimum payment or purchase by such Person other than operating leases entered into in the ordinary course of business and any such license or other agreement for the purchase of goods, software and other intangibles, services or supplies in the ordinary course of business, and (m) any Disqualified Equity Interests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the term “Indebtedness” shall not include (i) prepaid or deferred revenue arising in the ordinary course of business or (ii) for the avoidance of doubt, any obligations in respect of deferred compensation arising in the ordinary course of business. </w:t>
      </w:r>
    </w:p>
    <w:p>
      <w:pPr>
        <w:pStyle w:val="TextBody"/>
        <w:bidi w:val="0"/>
        <w:spacing w:before="240" w:after="0"/>
        <w:jc w:val="left"/>
        <w:rPr/>
      </w:pPr>
      <w:r>
        <w:rPr/>
        <w:t>“</w:t>
      </w:r>
      <w:r>
        <w:rPr>
          <w:rFonts w:ascii="Times New Roman" w:hAnsi="Times New Roman"/>
          <w:b/>
          <w:i/>
          <w:sz w:val="20"/>
        </w:rPr>
        <w:t>Indemnified Party</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Indemnified Taxes</w:t>
      </w:r>
      <w:r>
        <w:rPr>
          <w:rFonts w:ascii="Times New Roman" w:hAnsi="Times New Roman"/>
          <w:sz w:val="20"/>
        </w:rPr>
        <w:t xml:space="preserve">” means (a) Taxes, other than Excluded Taxes, imposed on or with respect to any payment made by or on account of any Obligation, and/or (b) to the extent not otherwise described in </w:t>
      </w:r>
      <w:r>
        <w:rPr>
          <w:rFonts w:ascii="Times New Roman" w:hAnsi="Times New Roman"/>
          <w:b/>
          <w:sz w:val="20"/>
        </w:rPr>
        <w:t>clause (a)</w:t>
      </w:r>
      <w:r>
        <w:rPr>
          <w:rFonts w:ascii="Times New Roman" w:hAnsi="Times New Roman"/>
          <w:sz w:val="20"/>
        </w:rPr>
        <w:t xml:space="preserve">, Other Taxes. </w:t>
      </w:r>
    </w:p>
    <w:p>
      <w:pPr>
        <w:pStyle w:val="TextBody"/>
        <w:bidi w:val="0"/>
        <w:spacing w:before="240" w:after="0"/>
        <w:jc w:val="left"/>
        <w:rPr/>
      </w:pPr>
      <w:r>
        <w:rPr/>
        <w:t>“</w:t>
      </w:r>
      <w:r>
        <w:rPr>
          <w:rFonts w:ascii="Times New Roman" w:hAnsi="Times New Roman"/>
          <w:b/>
          <w:i/>
          <w:sz w:val="20"/>
        </w:rPr>
        <w:t>Independent Appraiser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Information Certificate</w:t>
      </w:r>
      <w:r>
        <w:rPr>
          <w:rFonts w:ascii="Times New Roman" w:hAnsi="Times New Roman"/>
          <w:sz w:val="20"/>
        </w:rPr>
        <w:t xml:space="preserve">” means an Information and Collateral Certificate, in substantially the form set forth in </w:t>
      </w:r>
      <w:r>
        <w:rPr>
          <w:rFonts w:ascii="Times New Roman" w:hAnsi="Times New Roman"/>
          <w:b/>
          <w:sz w:val="20"/>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Insolvency Proceeding</w:t>
      </w:r>
      <w:r>
        <w:rPr>
          <w:rFonts w:ascii="Times New Roman" w:hAnsi="Times New Roman"/>
          <w:sz w:val="20"/>
        </w:rPr>
        <w:t xml:space="preserve">” means (a) any case, action or proceeding before any court or other Governmental Authority relating to bankruptcy, reorganization, insolvency, liquidation, receivership, examinership, dissolution, winding-up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 or similar laws of the United Kingdom (including the UK Insolvency Act 1986), or other applicable jurisdictions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Intellectual Property</w:t>
      </w:r>
      <w:r>
        <w:rPr>
          <w:rFonts w:ascii="Times New Roman" w:hAnsi="Times New Roman"/>
          <w:sz w:val="20"/>
        </w:rPr>
        <w:t xml:space="preserve">” means all Patents, Trademarks, Copyrights, and Technical Information, whether registered or not, U.S. or non-U.S., including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applications, registrations, amendments, and extensions relating to such Intellectual Property; and </w:t>
      </w:r>
    </w:p>
    <w:p>
      <w:pPr>
        <w:pStyle w:val="TextBody"/>
        <w:bidi w:val="0"/>
        <w:spacing w:before="120" w:after="0"/>
        <w:jc w:val="left"/>
        <w:rPr>
          <w:rFonts w:ascii="Times New Roman" w:hAnsi="Times New Roman"/>
          <w:sz w:val="20"/>
        </w:rPr>
      </w:pPr>
      <w:r>
        <w:rPr>
          <w:rFonts w:ascii="Times New Roman" w:hAnsi="Times New Roman"/>
          <w:sz w:val="20"/>
        </w:rPr>
        <w:t xml:space="preserve">(b) rights and privileges arising under any applicable Laws with respect to such Intellectual Property. </w:t>
      </w:r>
    </w:p>
    <w:p>
      <w:pPr>
        <w:pStyle w:val="TextBody"/>
        <w:bidi w:val="0"/>
        <w:spacing w:before="240" w:after="0"/>
        <w:jc w:val="left"/>
        <w:rPr/>
      </w:pPr>
      <w:r>
        <w:rPr/>
        <w:t>“</w:t>
      </w:r>
      <w:r>
        <w:rPr>
          <w:rFonts w:ascii="Times New Roman" w:hAnsi="Times New Roman"/>
          <w:b/>
          <w:i/>
          <w:sz w:val="20"/>
        </w:rPr>
        <w:t>Intercompany Subordination Agreement</w:t>
      </w:r>
      <w:r>
        <w:rPr>
          <w:rFonts w:ascii="Times New Roman" w:hAnsi="Times New Roman"/>
          <w:sz w:val="20"/>
        </w:rPr>
        <w:t xml:space="preserve">” means a subordination agreement to be executed and delivered by the Issuer and each of its Subsidiaries, pursuant to which all obligations in respect of any Indebtedness owing to any such Person by the Issuer or any of its Subsidiaries shall be subordinated to the prior payment in full in cash of all Obligations (other than inchoate indemnification and expense reimbursement obligations for which no Claim has been made), such agreement to be substantially in the form attached hereto as </w:t>
      </w:r>
      <w:r>
        <w:rPr>
          <w:rFonts w:ascii="Times New Roman" w:hAnsi="Times New Roman"/>
          <w:b/>
          <w:sz w:val="20"/>
        </w:rPr>
        <w:t>Exhibit 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Interest Period</w:t>
      </w:r>
      <w:r>
        <w:rPr>
          <w:rFonts w:ascii="Times New Roman" w:hAnsi="Times New Roman"/>
          <w:sz w:val="20"/>
        </w:rPr>
        <w:t xml:space="preserve">” means (a) initially, the period commencing on (and including) the Closing Date and ending on (and including) the last day of the calendar month in which the Closing Date occurred, and (b) thereafter, the period beginning on (and including) the first day of each succeeding calendar month and ending on the earlier of (and including) (i) the last day of such calendar month and (ii) the Maturity Date. </w:t>
      </w:r>
    </w:p>
    <w:p>
      <w:pPr>
        <w:pStyle w:val="TextBody"/>
        <w:bidi w:val="0"/>
        <w:spacing w:before="240" w:after="0"/>
        <w:jc w:val="left"/>
        <w:rPr/>
      </w:pPr>
      <w:r>
        <w:rPr/>
        <w:t>“</w:t>
      </w:r>
      <w:r>
        <w:rPr>
          <w:rFonts w:ascii="Times New Roman" w:hAnsi="Times New Roman"/>
          <w:b/>
          <w:i/>
          <w:sz w:val="20"/>
        </w:rPr>
        <w:t>Interest Rate</w:t>
      </w:r>
      <w:r>
        <w:rPr>
          <w:rFonts w:ascii="Times New Roman" w:hAnsi="Times New Roman"/>
          <w:sz w:val="20"/>
        </w:rPr>
        <w:t xml:space="preserve">” means, for any Interest Period, the sum of (a) the Applicable Margin plus (b) the greater of (i) the Reference Rate as of the second Business Day immediately preceding the first day of such Interest Period and (ii) three and one-half percent (3.50%). </w:t>
      </w:r>
    </w:p>
    <w:p>
      <w:pPr>
        <w:pStyle w:val="TextBody"/>
        <w:bidi w:val="0"/>
        <w:spacing w:before="240" w:after="0"/>
        <w:jc w:val="left"/>
        <w:rPr/>
      </w:pPr>
      <w:r>
        <w:rPr/>
        <w:t>“</w:t>
      </w:r>
      <w:r>
        <w:rPr>
          <w:rFonts w:ascii="Times New Roman" w:hAnsi="Times New Roman"/>
          <w:b/>
          <w:i/>
          <w:sz w:val="20"/>
        </w:rPr>
        <w:t>Intermediate Holdings</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Invention</w:t>
      </w:r>
      <w:r>
        <w:rPr>
          <w:rFonts w:ascii="Times New Roman" w:hAnsi="Times New Roman"/>
          <w:sz w:val="20"/>
        </w:rPr>
        <w:t xml:space="preserve">” means any novel, inventive, or useful art, apparatus, method, process, machine (including any article or device), manufacture, or composition of matter, or any novel, inventive, and useful improvement to any of the foregoing. </w:t>
      </w:r>
    </w:p>
    <w:p>
      <w:pPr>
        <w:pStyle w:val="TextBody"/>
        <w:bidi w:val="0"/>
        <w:spacing w:before="240" w:after="0"/>
        <w:jc w:val="left"/>
        <w:rPr/>
      </w:pPr>
      <w:r>
        <w:rPr/>
        <w:t>“</w:t>
      </w:r>
      <w:r>
        <w:rPr>
          <w:rFonts w:ascii="Times New Roman" w:hAnsi="Times New Roman"/>
          <w:b/>
          <w:i/>
          <w:sz w:val="20"/>
        </w:rPr>
        <w:t>Investment</w:t>
      </w:r>
      <w:r>
        <w:rPr>
          <w:rFonts w:ascii="Times New Roman" w:hAnsi="Times New Roman"/>
          <w:sz w:val="20"/>
        </w:rPr>
        <w:t xml:space="preserve">” means, for any Person: (a) the acquisition (whether for cash, property, services or securities or otherwise) 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one hundred eighty (180) days arising in connection with the sale of inventory, services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or (d) the entering into of any Hedging Agreement. The amount of an Investment will be determined at the time the Investment is made without giving effect to any subsequent changes in value, but giving effect to any repayments of principal (in the case of Investments in the form of loans) and any return of capital or return on Investment (in the case of equity Investments), in each case, actually received by the Issuer or the applicable Subsidiary in cash or cash equivalents, but not in excess of the amount of the initial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b/>
          <w:i/>
          <w:sz w:val="20"/>
        </w:rPr>
        <w:t>Issuer</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any U.S. or non-U.S. federal, state, provincial, territorial, municipal, or local statute, treaty, rule,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permits of, and agreements with, any Governmental Authority, in each case having the force of law. </w:t>
      </w:r>
    </w:p>
    <w:p>
      <w:pPr>
        <w:pStyle w:val="TextBody"/>
        <w:bidi w:val="0"/>
        <w:spacing w:before="240" w:after="0"/>
        <w:jc w:val="left"/>
        <w:rPr/>
      </w:pPr>
      <w:r>
        <w:rPr/>
        <w:t>“</w:t>
      </w:r>
      <w:r>
        <w:rPr>
          <w:rFonts w:ascii="Times New Roman" w:hAnsi="Times New Roman"/>
          <w:b/>
          <w:i/>
          <w:sz w:val="20"/>
        </w:rPr>
        <w:t>Lien</w:t>
      </w:r>
      <w:r>
        <w:rPr>
          <w:rFonts w:ascii="Times New Roman" w:hAnsi="Times New Roman"/>
          <w:sz w:val="20"/>
        </w:rPr>
        <w:t xml:space="preserve">”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pPr>
      <w:r>
        <w:rPr/>
        <w:t>“</w:t>
      </w:r>
      <w:r>
        <w:rPr>
          <w:rFonts w:ascii="Times New Roman" w:hAnsi="Times New Roman"/>
          <w:b/>
          <w:i/>
          <w:sz w:val="20"/>
        </w:rPr>
        <w:t>Liquidity Certificate</w:t>
      </w:r>
      <w:r>
        <w:rPr>
          <w:rFonts w:ascii="Times New Roman" w:hAnsi="Times New Roman"/>
          <w:sz w:val="20"/>
        </w:rPr>
        <w:t xml:space="preserve">” means a certificate of a Responsible Officer of the Issuer in substantially the form attached hereto as </w:t>
      </w:r>
      <w:r>
        <w:rPr>
          <w:rFonts w:ascii="Times New Roman" w:hAnsi="Times New Roman"/>
          <w:b/>
          <w:sz w:val="20"/>
        </w:rPr>
        <w:t>Exhibit 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Loss</w:t>
      </w:r>
      <w:r>
        <w:rPr>
          <w:rFonts w:ascii="Times New Roman" w:hAnsi="Times New Roman"/>
          <w:sz w:val="20"/>
        </w:rPr>
        <w:t xml:space="preserve">”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 </w:t>
      </w:r>
    </w:p>
    <w:p>
      <w:pPr>
        <w:pStyle w:val="TextBody"/>
        <w:bidi w:val="0"/>
        <w:spacing w:before="240" w:after="0"/>
        <w:jc w:val="left"/>
        <w:rPr/>
      </w:pPr>
      <w:r>
        <w:rPr/>
        <w:t>“</w:t>
      </w:r>
      <w:r>
        <w:rPr>
          <w:rFonts w:ascii="Times New Roman" w:hAnsi="Times New Roman"/>
          <w:b/>
          <w:i/>
          <w:sz w:val="20"/>
        </w:rPr>
        <w:t>Majority Noteholders</w:t>
      </w:r>
      <w:r>
        <w:rPr>
          <w:rFonts w:ascii="Times New Roman" w:hAnsi="Times New Roman"/>
          <w:sz w:val="20"/>
        </w:rPr>
        <w:t xml:space="preserve">” means, at any time, Noteholders having at such time in excess of fifty percent (50%) of the aggregate Commitments (or, if such Commitments are terminated, the outstanding principal amount of the Notes) then in effect, ignoring, in such calculation, the Commitments of and outstanding Notes owing to any Noteholder that has failed to perform its funding obligations in respect of its Commitment to make subscriptions for Notes hereunder. </w:t>
      </w:r>
    </w:p>
    <w:p>
      <w:pPr>
        <w:pStyle w:val="TextBody"/>
        <w:bidi w:val="0"/>
        <w:spacing w:before="240" w:after="0"/>
        <w:jc w:val="left"/>
        <w:rPr/>
      </w:pPr>
      <w:r>
        <w:rPr/>
        <w:t>“</w:t>
      </w:r>
      <w:r>
        <w:rPr>
          <w:rFonts w:ascii="Times New Roman" w:hAnsi="Times New Roman"/>
          <w:b/>
          <w:i/>
          <w:sz w:val="20"/>
        </w:rPr>
        <w:t>Management Calculation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Margin Stock</w:t>
      </w:r>
      <w:r>
        <w:rPr>
          <w:rFonts w:ascii="Times New Roman" w:hAnsi="Times New Roman"/>
          <w:sz w:val="20"/>
        </w:rPr>
        <w:t xml:space="preserve">” means “margin stock” within the meaning of Regulation U and Regulation X. </w:t>
      </w:r>
    </w:p>
    <w:p>
      <w:pPr>
        <w:pStyle w:val="TextBody"/>
        <w:bidi w:val="0"/>
        <w:spacing w:before="240" w:after="0"/>
        <w:jc w:val="left"/>
        <w:rPr/>
      </w:pPr>
      <w:r>
        <w:rPr/>
        <w:t>“</w:t>
      </w:r>
      <w:r>
        <w:rPr>
          <w:rFonts w:ascii="Times New Roman" w:hAnsi="Times New Roman"/>
          <w:b/>
          <w:i/>
          <w:sz w:val="20"/>
        </w:rPr>
        <w:t>Market Capitalization</w:t>
      </w:r>
      <w:r>
        <w:rPr>
          <w:rFonts w:ascii="Times New Roman" w:hAnsi="Times New Roman"/>
          <w:sz w:val="20"/>
        </w:rPr>
        <w:t xml:space="preserve">” means, as of any date of determination, an amount equal to (a) the average of the daily volume weighted average price of the American Depositary Shares as reported for each of the thirty (30) trading days preceding such date of determination (it being understood that a “trading day” shall mean a day on which the American Depositary Shares trade on the main exchange of the NASDAQ (or, if the primary listing of such American Depositary Shares is on the main exchange of the New York Stock Exchange, on such other exchange) in an ordinary trading session) multiplied by (b) the total number of issued and outstanding ordinary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the Issuer, nominal value of $0.000042 per share, on the date of the determination, subject to appropriate adjustment for any American Depositary Share to ordinary share ratio change, stock dividend, stock split, stock combination, reclassification or other similar transaction during the applicable calculation period. </w:t>
      </w:r>
    </w:p>
    <w:p>
      <w:pPr>
        <w:pStyle w:val="TextBody"/>
        <w:bidi w:val="0"/>
        <w:spacing w:before="240" w:after="0"/>
        <w:jc w:val="left"/>
        <w:rPr/>
      </w:pPr>
      <w:r>
        <w:rPr/>
        <w:t>“</w:t>
      </w:r>
      <w:r>
        <w:rPr>
          <w:rFonts w:ascii="Times New Roman" w:hAnsi="Times New Roman"/>
          <w:b/>
          <w:i/>
          <w:sz w:val="20"/>
        </w:rPr>
        <w:t>Material Adverse Change</w:t>
      </w:r>
      <w:r>
        <w:rPr>
          <w:rFonts w:ascii="Times New Roman" w:hAnsi="Times New Roman"/>
          <w:sz w:val="20"/>
        </w:rPr>
        <w:t>” and “</w:t>
      </w:r>
      <w:r>
        <w:rPr>
          <w:rFonts w:ascii="Times New Roman" w:hAnsi="Times New Roman"/>
          <w:b/>
          <w:i/>
          <w:sz w:val="20"/>
        </w:rPr>
        <w:t>Material Adverse Effect</w:t>
      </w:r>
      <w:r>
        <w:rPr>
          <w:rFonts w:ascii="Times New Roman" w:hAnsi="Times New Roman"/>
          <w:sz w:val="20"/>
        </w:rPr>
        <w:t xml:space="preserve">” mean a material adverse change in or effect on (a) the business, assets, properties, operations or condition (financial or otherwise) of the Issuer and its Subsidiaries, taken as a whole, (b) the ability of the Obligors taken as a whole to perform their obligations under the Notes Documents, as and when due, or (c) the legality, validity, binding effect or enforceability of the Notes Documents or the rights and remedies of the Administrative Agent or the Noteholders under any of the Notes Documents. </w:t>
      </w:r>
    </w:p>
    <w:p>
      <w:pPr>
        <w:pStyle w:val="TextBody"/>
        <w:bidi w:val="0"/>
        <w:spacing w:before="240" w:after="0"/>
        <w:jc w:val="left"/>
        <w:rPr/>
      </w:pPr>
      <w:r>
        <w:rPr/>
        <w:t>“</w:t>
      </w:r>
      <w:r>
        <w:rPr>
          <w:rFonts w:ascii="Times New Roman" w:hAnsi="Times New Roman"/>
          <w:b/>
          <w:i/>
          <w:sz w:val="20"/>
        </w:rPr>
        <w:t>Material Agreement</w:t>
      </w:r>
      <w:r>
        <w:rPr>
          <w:rFonts w:ascii="Times New Roman" w:hAnsi="Times New Roman"/>
          <w:sz w:val="20"/>
        </w:rPr>
        <w:t xml:space="preserve">” means (a) any Contract to which the Issuer or any of its Subsidiaries is a party or a beneficiary from time to time, the absence or termination of which would reasonably be expected to result in a Material Adverse Effect, and (b) without duplication, any other Contract to which the Issuer or any of its Subsidiaries is a party or a guarantor (or equivalent) that, during any calendar year, is reasonably expected to (i) result in payments or receipts (including royalty, licensing, or similar payments) made to the Issuer or any of its Subsidiaries in an aggregate amount in excess of $5,000,000, or (ii) require payments or expenditures (including royalty, licensing, or similar payments) to be made by the Issuer or any of its Subsidiaries in an aggregate amount in excess of $5,000,000. </w:t>
      </w:r>
    </w:p>
    <w:p>
      <w:pPr>
        <w:pStyle w:val="TextBody"/>
        <w:bidi w:val="0"/>
        <w:spacing w:before="240" w:after="0"/>
        <w:jc w:val="left"/>
        <w:rPr/>
      </w:pPr>
      <w:r>
        <w:rPr/>
        <w:t>“</w:t>
      </w:r>
      <w:r>
        <w:rPr>
          <w:rFonts w:ascii="Times New Roman" w:hAnsi="Times New Roman"/>
          <w:b/>
          <w:i/>
          <w:sz w:val="20"/>
        </w:rPr>
        <w:t>Material Indebtedness</w:t>
      </w:r>
      <w:r>
        <w:rPr>
          <w:rFonts w:ascii="Times New Roman" w:hAnsi="Times New Roman"/>
          <w:sz w:val="20"/>
        </w:rPr>
        <w:t xml:space="preserve">” means, at any time, any Indebtedness of any Obligor or any Subsidiary thereof (excluding any intercompany Indebtedness by and among the Obligors and their respective Subsidiaries that is permitted hereunder), the outstanding principal amount of which, individually or in the aggregate, exceeds $2,500,000 (or the Equivalent Amount in other currencies). </w:t>
      </w:r>
    </w:p>
    <w:p>
      <w:pPr>
        <w:pStyle w:val="TextBody"/>
        <w:bidi w:val="0"/>
        <w:spacing w:before="240" w:after="0"/>
        <w:jc w:val="left"/>
        <w:rPr/>
      </w:pPr>
      <w:r>
        <w:rPr/>
        <w:t>“</w:t>
      </w:r>
      <w:r>
        <w:rPr>
          <w:rFonts w:ascii="Times New Roman" w:hAnsi="Times New Roman"/>
          <w:b/>
          <w:i/>
          <w:sz w:val="20"/>
        </w:rPr>
        <w:t>Material Intellectual Property</w:t>
      </w:r>
      <w:r>
        <w:rPr>
          <w:rFonts w:ascii="Times New Roman" w:hAnsi="Times New Roman"/>
          <w:sz w:val="20"/>
        </w:rPr>
        <w:t xml:space="preserve">” means any Intellectual Property of the Obligors, whether owned or licensed as of the date hereof, or acquired, developed, or otherwise licensed or obtained after the date hereof, the loss of which would reasonably be expected to result in a Material Adverse Effect or a Material Regulatory Event. </w:t>
      </w:r>
    </w:p>
    <w:p>
      <w:pPr>
        <w:pStyle w:val="TextBody"/>
        <w:bidi w:val="0"/>
        <w:spacing w:before="240" w:after="0"/>
        <w:jc w:val="left"/>
        <w:rPr/>
      </w:pPr>
      <w:r>
        <w:rPr/>
        <w:t>“</w:t>
      </w:r>
      <w:r>
        <w:rPr>
          <w:rFonts w:ascii="Times New Roman" w:hAnsi="Times New Roman"/>
          <w:b/>
          <w:i/>
          <w:sz w:val="20"/>
        </w:rPr>
        <w:t>Material Real Property</w:t>
      </w:r>
      <w:r>
        <w:rPr>
          <w:rFonts w:ascii="Times New Roman" w:hAnsi="Times New Roman"/>
          <w:sz w:val="20"/>
        </w:rPr>
        <w:t xml:space="preserve">” means (a) the leasehold property in the United Kingdom known as Nucleus, Stevenage SG1 1FR registered with title HD621386 at HM Land Registry) and (b) any real property (whether freehold, commonhold or leasehold and wherever located) that is owned or leased by the Issuer or any other Obligor (or by any Person required to become an Obligor hereunder), where: (x) in the case of freehold or commonhold property (or jurisdictional equivalents), such property has a fair market value in excess of $10,000,000 (or the Equivalent Amount in other currencies); (y) in the case of any such property located in the United States, such property is not located in an area determined by the U.S. Federal Emergency Management Agency (or any successor agency) to be located in a special flood hazard area and (z) in the case of leasehold property (or jurisdictional equivalents), such property has an unexpired term of not less than seven (7) years and annual rent in excess of $3,500,000 (or the Equivalent Amount in other currencies).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w:t>
      </w:r>
      <w:r>
        <w:rPr>
          <w:rFonts w:ascii="Times New Roman" w:hAnsi="Times New Roman"/>
          <w:b/>
          <w:sz w:val="20"/>
        </w:rPr>
        <w:t>clause (b)(z)</w:t>
      </w:r>
      <w:r>
        <w:rPr>
          <w:rFonts w:ascii="Times New Roman" w:hAnsi="Times New Roman"/>
          <w:sz w:val="20"/>
        </w:rPr>
        <w:t xml:space="preserve"> of this definition, “annual rent” means the aggregate annual principal or basic rent payable by the relevant Obligor under the relevant lease (exclusive of value added tax, insurance rent, service charge and any other sums reserved as rent), determined as at the date of determination and after giving effect to any rent review which has taken effect on or prior to that date. </w:t>
      </w:r>
    </w:p>
    <w:p>
      <w:pPr>
        <w:pStyle w:val="TextBody"/>
        <w:bidi w:val="0"/>
        <w:spacing w:before="240" w:after="0"/>
        <w:jc w:val="left"/>
        <w:rPr/>
      </w:pPr>
      <w:r>
        <w:rPr/>
        <w:t>“</w:t>
      </w:r>
      <w:r>
        <w:rPr>
          <w:rFonts w:ascii="Times New Roman" w:hAnsi="Times New Roman"/>
          <w:b/>
          <w:i/>
          <w:sz w:val="20"/>
        </w:rPr>
        <w:t>Material Real Property Report</w:t>
      </w:r>
      <w:r>
        <w:rPr>
          <w:rFonts w:ascii="Times New Roman" w:hAnsi="Times New Roman"/>
          <w:sz w:val="20"/>
        </w:rPr>
        <w:t xml:space="preserve">” means a real estate report in respect of any Material Real Property or Future Acquired Material Real Property which is held leasehold and is located in England or Wales, addressed to, and capable of being relied upon by, the Secured Parties, detailing the (a) address, (b) title number, (c) class of title, (d) tenure, (e) restrictions on title and (f) pending applications registered against title at HM Land Registry. </w:t>
      </w:r>
    </w:p>
    <w:p>
      <w:pPr>
        <w:pStyle w:val="TextBody"/>
        <w:bidi w:val="0"/>
        <w:spacing w:before="240" w:after="0"/>
        <w:jc w:val="left"/>
        <w:rPr/>
      </w:pPr>
      <w:r>
        <w:rPr/>
        <w:t>“</w:t>
      </w:r>
      <w:r>
        <w:rPr>
          <w:rFonts w:ascii="Times New Roman" w:hAnsi="Times New Roman"/>
          <w:b/>
          <w:i/>
          <w:sz w:val="20"/>
        </w:rPr>
        <w:t>Material Regulatory Event</w:t>
      </w:r>
      <w:r>
        <w:rPr>
          <w:rFonts w:ascii="Times New Roman" w:hAnsi="Times New Roman"/>
          <w:sz w:val="20"/>
        </w:rPr>
        <w:t xml:space="preserve">” means an Adverse Regulatory Event that (a) individually has resulted in, or would reasonably be expected to result in, a fine, penalty or Loss (excluding a loss of revenue) in excess of $2,500,000 per occurrence, (b) when taken together with each other Adverse Regulatory Event that has occurred since the Closing Date, has resulted in, or would reasonably be expected to result in, a fine, penalty or Loss (excluding a loss of revenue) in excess of $5,000,000 in the aggregate or (c) has, directly or indirectly, resulted in a mandatory or voluntary recall of any Product for a period in excess of ninety (90) consecutive days. </w:t>
      </w:r>
    </w:p>
    <w:p>
      <w:pPr>
        <w:pStyle w:val="TextBody"/>
        <w:bidi w:val="0"/>
        <w:spacing w:before="240" w:after="0"/>
        <w:jc w:val="left"/>
        <w:rPr/>
      </w:pPr>
      <w:r>
        <w:rPr/>
        <w:t>“</w:t>
      </w:r>
      <w:r>
        <w:rPr>
          <w:rFonts w:ascii="Times New Roman" w:hAnsi="Times New Roman"/>
          <w:b/>
          <w:i/>
          <w:sz w:val="20"/>
        </w:rPr>
        <w:t>Maturity Date</w:t>
      </w:r>
      <w:r>
        <w:rPr>
          <w:rFonts w:ascii="Times New Roman" w:hAnsi="Times New Roman"/>
          <w:sz w:val="20"/>
        </w:rPr>
        <w:t xml:space="preserve">” means July 30, 2031. </w:t>
      </w:r>
    </w:p>
    <w:p>
      <w:pPr>
        <w:pStyle w:val="TextBody"/>
        <w:bidi w:val="0"/>
        <w:spacing w:before="240" w:after="0"/>
        <w:jc w:val="left"/>
        <w:rPr/>
      </w:pPr>
      <w:r>
        <w:rPr/>
        <w:t>“</w:t>
      </w:r>
      <w:r>
        <w:rPr>
          <w:rFonts w:ascii="Times New Roman" w:hAnsi="Times New Roman"/>
          <w:b/>
          <w:i/>
          <w:sz w:val="20"/>
        </w:rPr>
        <w:t>MD&amp;A</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Minimum Liquidity Amount</w:t>
      </w:r>
      <w:r>
        <w:rPr>
          <w:rFonts w:ascii="Times New Roman" w:hAnsi="Times New Roman"/>
          <w:sz w:val="20"/>
        </w:rPr>
        <w:t xml:space="preserve">” means (a) from and including the Closing Date to the earlier to occur of the Tranche 3 Issue Date and the Tranche 4 Issue Date, $[***] and (b) from the earlier to occur of the Tranche 3 Issue Date and the Tranche 4 Issue Date and thereafter, $[***]; </w:t>
      </w:r>
      <w:r>
        <w:rPr>
          <w:rFonts w:ascii="Times New Roman" w:hAnsi="Times New Roman"/>
          <w:sz w:val="20"/>
          <w:u w:val="single"/>
        </w:rPr>
        <w:t>provided</w:t>
      </w:r>
      <w:r>
        <w:rPr>
          <w:rFonts w:ascii="Times New Roman" w:hAnsi="Times New Roman"/>
          <w:sz w:val="20"/>
        </w:rPr>
        <w:t xml:space="preserve"> that, if, as of any date of determination, both (i) Consolidated Net Revenue as of the last day of the most recent fiscal quarter for which financial statements have been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8.01(a)</w:t>
      </w:r>
      <w:r>
        <w:rPr>
          <w:rFonts w:ascii="Times New Roman" w:hAnsi="Times New Roman"/>
          <w:sz w:val="20"/>
        </w:rPr>
        <w:t xml:space="preserve"> is greater than $[***] and (ii) the Market Capitalization of the Issuer is greater than the greater of (x) four times the outstanding aggregate principal amount of the Notes and (y) $[***], then the amounts in the foregoing clauses (a) and (b) shall be reduced by 50%. </w:t>
      </w:r>
    </w:p>
    <w:p>
      <w:pPr>
        <w:pStyle w:val="TextBody"/>
        <w:bidi w:val="0"/>
        <w:spacing w:before="240" w:after="0"/>
        <w:jc w:val="left"/>
        <w:rPr/>
      </w:pPr>
      <w:r>
        <w:rPr/>
        <w:t>“</w:t>
      </w:r>
      <w:r>
        <w:rPr>
          <w:rFonts w:ascii="Times New Roman" w:hAnsi="Times New Roman"/>
          <w:b/>
          <w:i/>
          <w:sz w:val="20"/>
        </w:rPr>
        <w:t>MNPI Notice Window</w:t>
      </w:r>
      <w:r>
        <w:rPr>
          <w:rFonts w:ascii="Times New Roman" w:hAnsi="Times New Roman"/>
          <w:sz w:val="20"/>
        </w:rPr>
        <w:t xml:space="preserve">” means (a) from the Closing Date to any time ending five Business Days after the Administrative Agent delivers a written notice to the Issuer (which may be by email) that it (or any Noteholder) is no longer willing to receive material non-public information and (b) any time commencing five Business Days after the Administrative Agent delivers a written notice to the Issuer (which may be by email) of its (or any Noteholder’s) willingness to receive material non-public information, and ending five Business Days after Administrative Agent delivers written notice to the Issuer (which may be by email) that it (or any Noteholder) is no longer willing to receive material non-public information. </w:t>
      </w:r>
    </w:p>
    <w:p>
      <w:pPr>
        <w:pStyle w:val="TextBody"/>
        <w:bidi w:val="0"/>
        <w:spacing w:before="240" w:after="0"/>
        <w:jc w:val="left"/>
        <w:rPr/>
      </w:pPr>
      <w:r>
        <w:rPr/>
        <w:t>“</w:t>
      </w:r>
      <w:r>
        <w:rPr>
          <w:rFonts w:ascii="Times New Roman" w:hAnsi="Times New Roman"/>
          <w:b/>
          <w:i/>
          <w:sz w:val="20"/>
        </w:rPr>
        <w:t>Mortgage</w:t>
      </w:r>
      <w:r>
        <w:rPr>
          <w:rFonts w:ascii="Times New Roman" w:hAnsi="Times New Roman"/>
          <w:sz w:val="20"/>
        </w:rPr>
        <w:t xml:space="preserve">” means each mortgage, deed of trust and similar agreement or instrument creating a Lien on Material Real Property or Future Acquired Material Real Property (as applicable) made by any Obligor in favor of, or for the benefit of, the Administrative Agent for the benefit of the Secured Parties, in form and substance reasonably satisfactory to the Administrative Agent and the Issuer and containing such provisions as shall be advisable under the law of the jurisdiction in which such mortgage or deed of trust is to be recorded, as the same may be amended, amended and restated,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Multiemployer Plan</w:t>
      </w:r>
      <w:r>
        <w:rPr>
          <w:rFonts w:ascii="Times New Roman" w:hAnsi="Times New Roman"/>
          <w:sz w:val="20"/>
        </w:rPr>
        <w:t xml:space="preserve">” means any multiemployer plan, as defined in Section 400l(a)(3) of ERISA, to which any ERISA Affiliate incurs or otherwise has any obligation or liability, contingent or otherwise. </w:t>
      </w:r>
    </w:p>
    <w:p>
      <w:pPr>
        <w:pStyle w:val="TextBody"/>
        <w:bidi w:val="0"/>
        <w:spacing w:before="240" w:after="0"/>
        <w:jc w:val="left"/>
        <w:rPr/>
      </w:pPr>
      <w:r>
        <w:rPr/>
        <w:t>“</w:t>
      </w:r>
      <w:r>
        <w:rPr>
          <w:rFonts w:ascii="Times New Roman" w:hAnsi="Times New Roman"/>
          <w:b/>
          <w:i/>
          <w:sz w:val="20"/>
        </w:rPr>
        <w:t>Net Assets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Net Cash Proceeds</w:t>
      </w:r>
      <w:r>
        <w:rPr>
          <w:rFonts w:ascii="Times New Roman" w:hAnsi="Times New Roman"/>
          <w:sz w:val="20"/>
        </w:rPr>
        <w:t xml:space="preserve">”, means, (a) with respect to any Casualty Event experienced or suffered by an Obligor or any of its Subsidiaries, the amount of cash proceeds received (directly or indirectly) including, without limitation, in the form of insurance proceeds or condemnation awards in respect of such Casualty Event, from time to time by or on behalf of such Person after deducting therefrom only (i) reasonable fees, costs and expenses related thereto incurred by such Obligor or such Subsidiary in connection therewith, (ii) amounts required to be repaid on account of any Permitted Indebtedness (other than the Obligations) required to be repaid as a result of such Casualty Event, (iii) amounts required to be reserved in accordance with GAAP for indemnities and against liabilities associated with the property damaged, destructed or condemned in such Casualty Event, and (iv) Taxes (including transfer Taxes or net income Taxes) paid or payable in connection therewith (as reasonably estimated by the Issuer in good faith); and (b) with respect to any Asset Sale by any Obligor or any of its Subsidiaries, the amount of cash proceeds received (directly or indirectly) from time to time by or on behalf of such Person after deducting therefrom only (i) reasonable fees, costs and expenses related thereto incurred by such Obligor or such Subsidiary in connection therewith, (ii) amounts required to be repaid on account of any Permitted Indebtedness (other than the Obligations) required to be repaid as a result of such Asset Sale, and (iii) Taxes (including transfer Taxes or net income Taxes) paid or payable in connection therewith (as reasonably estimated by the Issuer in good faith); </w:t>
      </w:r>
      <w:r>
        <w:rPr>
          <w:rFonts w:ascii="Times New Roman" w:hAnsi="Times New Roman"/>
          <w:sz w:val="20"/>
          <w:u w:val="single"/>
        </w:rPr>
        <w:t>provided</w:t>
      </w:r>
      <w:r>
        <w:rPr>
          <w:rFonts w:ascii="Times New Roman" w:hAnsi="Times New Roman"/>
          <w:sz w:val="20"/>
        </w:rPr>
        <w:t xml:space="preserve"> that, in each case of </w:t>
      </w:r>
      <w:r>
        <w:rPr>
          <w:rFonts w:ascii="Times New Roman" w:hAnsi="Times New Roman"/>
          <w:b/>
          <w:sz w:val="20"/>
        </w:rPr>
        <w:t>clauses (a)</w:t>
      </w:r>
      <w:r>
        <w:rPr>
          <w:rFonts w:ascii="Times New Roman" w:hAnsi="Times New Roman"/>
          <w:sz w:val="20"/>
        </w:rPr>
        <w:t xml:space="preserve"> and </w:t>
      </w:r>
      <w:r>
        <w:rPr>
          <w:rFonts w:ascii="Times New Roman" w:hAnsi="Times New Roman"/>
          <w:b/>
          <w:sz w:val="20"/>
        </w:rPr>
        <w:t>(b)</w:t>
      </w:r>
      <w:r>
        <w:rPr>
          <w:rFonts w:ascii="Times New Roman" w:hAnsi="Times New Roman"/>
          <w:sz w:val="20"/>
        </w:rPr>
        <w:t xml:space="preserve">, costs and expenses shall only be deducted to the extent, that the amounts so deducted are (i) paid or payable to a Person that is not an Affiliate of any Obligor or any of its Subsidiaries and (ii) properly attributable to such Casualty Event or Asset Sale, as the case may be. </w:t>
      </w:r>
    </w:p>
    <w:p>
      <w:pPr>
        <w:pStyle w:val="TextBody"/>
        <w:bidi w:val="0"/>
        <w:spacing w:before="240" w:after="0"/>
        <w:jc w:val="left"/>
        <w:rPr/>
      </w:pPr>
      <w:r>
        <w:rPr/>
        <w:t>“</w:t>
      </w:r>
      <w:r>
        <w:rPr>
          <w:rFonts w:ascii="Times New Roman" w:hAnsi="Times New Roman"/>
          <w:b/>
          <w:i/>
          <w:sz w:val="20"/>
        </w:rPr>
        <w:t>Noteholders</w:t>
      </w:r>
      <w:r>
        <w:rPr>
          <w:rFonts w:ascii="Times New Roman" w:hAnsi="Times New Roman"/>
          <w:sz w:val="20"/>
        </w:rPr>
        <w:t xml:space="preserve">” has the meaning set forth in the preamble hereto. </w:t>
      </w:r>
    </w:p>
    <w:p>
      <w:pPr>
        <w:pStyle w:val="TextBody"/>
        <w:bidi w:val="0"/>
        <w:spacing w:before="240" w:after="0"/>
        <w:jc w:val="left"/>
        <w:rPr/>
      </w:pPr>
      <w:r>
        <w:rPr/>
        <w:t>“</w:t>
      </w:r>
      <w:r>
        <w:rPr>
          <w:rFonts w:ascii="Times New Roman" w:hAnsi="Times New Roman"/>
          <w:b/>
          <w:i/>
          <w:sz w:val="20"/>
        </w:rPr>
        <w:t>Notes</w:t>
      </w:r>
      <w:r>
        <w:rPr>
          <w:rFonts w:ascii="Times New Roman" w:hAnsi="Times New Roman"/>
          <w:sz w:val="20"/>
        </w:rPr>
        <w:t>” means, as the context may require, any of the Tranche 1 Notes, Tranche 2 Notes, Tranche 3 Notes or the Tranche 4 Notes, and “</w:t>
      </w:r>
      <w:r>
        <w:rPr>
          <w:rFonts w:ascii="Times New Roman" w:hAnsi="Times New Roman"/>
          <w:b/>
          <w:i/>
          <w:sz w:val="20"/>
        </w:rPr>
        <w:t>Notes</w:t>
      </w:r>
      <w:r>
        <w:rPr>
          <w:rFonts w:ascii="Times New Roman" w:hAnsi="Times New Roman"/>
          <w:sz w:val="20"/>
        </w:rPr>
        <w:t xml:space="preserve">” means, collectively, any combination of the foregoing, as the case may be. </w:t>
      </w:r>
    </w:p>
    <w:p>
      <w:pPr>
        <w:pStyle w:val="TextBody"/>
        <w:bidi w:val="0"/>
        <w:spacing w:before="240" w:after="0"/>
        <w:jc w:val="left"/>
        <w:rPr/>
      </w:pPr>
      <w:r>
        <w:rPr/>
        <w:t>“</w:t>
      </w:r>
      <w:r>
        <w:rPr>
          <w:rFonts w:ascii="Times New Roman" w:hAnsi="Times New Roman"/>
          <w:b/>
          <w:i/>
          <w:sz w:val="20"/>
        </w:rPr>
        <w:t>Notes Certificate</w:t>
      </w:r>
      <w:r>
        <w:rPr>
          <w:rFonts w:ascii="Times New Roman" w:hAnsi="Times New Roman"/>
          <w:sz w:val="20"/>
        </w:rPr>
        <w:t xml:space="preserve">” means a notes certificate in the form set out in </w:t>
      </w:r>
      <w:r>
        <w:rPr>
          <w:rFonts w:ascii="Times New Roman" w:hAnsi="Times New Roman"/>
          <w:b/>
          <w:sz w:val="20"/>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Notes Documents</w:t>
      </w:r>
      <w:r>
        <w:rPr>
          <w:rFonts w:ascii="Times New Roman" w:hAnsi="Times New Roman"/>
          <w:sz w:val="20"/>
        </w:rPr>
        <w:t xml:space="preserve">” means, collectively, this Agreement, the Notes Certificates, the Security Documents, the Fee Letter, any Guarantee, any Notes Subscription Request, any Warrant Certificate, the Intercompany Subordination Agreement, and any other guaranty, security agreement, subordination agreement, intercreditor agreement or other present or future document, instrument, agreement, certificate or other amendment, waiver or modification of the foregoing, delivered to the Administrative Agent or any Noteholder in connection with this Agreement or any of the other Notes Documents, in each case, as amended or otherwise modified.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Notes Issue Date</w:t>
      </w:r>
      <w:r>
        <w:rPr>
          <w:rFonts w:ascii="Times New Roman" w:hAnsi="Times New Roman"/>
          <w:sz w:val="20"/>
        </w:rPr>
        <w:t xml:space="preserve">” means the Closing Date, the Tranche 2 Issue Date, the Tranche 3 Issue Date, and/or the Tranche 4 Issue Date, as applicable. </w:t>
      </w:r>
    </w:p>
    <w:p>
      <w:pPr>
        <w:pStyle w:val="TextBody"/>
        <w:bidi w:val="0"/>
        <w:spacing w:before="240" w:after="0"/>
        <w:jc w:val="left"/>
        <w:rPr/>
      </w:pPr>
      <w:r>
        <w:rPr/>
        <w:t>“</w:t>
      </w:r>
      <w:r>
        <w:rPr>
          <w:rFonts w:ascii="Times New Roman" w:hAnsi="Times New Roman"/>
          <w:b/>
          <w:i/>
          <w:sz w:val="20"/>
        </w:rPr>
        <w:t>Notes Register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14.05(d).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Notes Subscription Request</w:t>
      </w:r>
      <w:r>
        <w:rPr>
          <w:rFonts w:ascii="Times New Roman" w:hAnsi="Times New Roman"/>
          <w:sz w:val="20"/>
        </w:rPr>
        <w:t xml:space="preserve">” means a written notice substantially in the form of </w:t>
      </w:r>
      <w:r>
        <w:rPr>
          <w:rFonts w:ascii="Times New Roman" w:hAnsi="Times New Roman"/>
          <w:b/>
          <w:sz w:val="20"/>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NY UCC</w:t>
      </w:r>
      <w:r>
        <w:rPr>
          <w:rFonts w:ascii="Times New Roman" w:hAnsi="Times New Roman"/>
          <w:sz w:val="20"/>
        </w:rPr>
        <w:t xml:space="preserve">” means the UCC as in effect from time to time in New York. </w:t>
      </w:r>
    </w:p>
    <w:p>
      <w:pPr>
        <w:pStyle w:val="TextBody"/>
        <w:bidi w:val="0"/>
        <w:spacing w:before="240" w:after="0"/>
        <w:jc w:val="left"/>
        <w:rPr/>
      </w:pPr>
      <w:r>
        <w:rPr/>
        <w:t>“</w:t>
      </w:r>
      <w:r>
        <w:rPr>
          <w:rFonts w:ascii="Times New Roman" w:hAnsi="Times New Roman"/>
          <w:b/>
          <w:i/>
          <w:sz w:val="20"/>
        </w:rPr>
        <w:t>Obligations</w:t>
      </w:r>
      <w:r>
        <w:rPr>
          <w:rFonts w:ascii="Times New Roman" w:hAnsi="Times New Roman"/>
          <w:sz w:val="20"/>
        </w:rPr>
        <w:t xml:space="preserve">” means, with respect to any Obligor, all amounts, obligations, liabilities, covenants and duties of every type and description (including all Guaranteed Obligations) owing by such Obligor to any Secured Party, any indemnitee hereunder or any participant, arising out of, under, or in connection with, any Notes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(a) if such Obligor is the Issuer, all Notes, (b) all interest, whether or not accruing after the filing of any petition in bankruptcy or after the commencement of any insolvency, reorganization or similar proceeding, and whether or not a claim for post-filing or post-petition interest is allowed in any such proceeding, and (c) all other fees, expenses (including fees, charges and disbursement of counsel), interest, commissions, charges, costs, disbursements, indemnities and reimbursement of amounts paid and other sums chargeable to such Obligor under any Notes Document. Notwithstanding the foregoing, the “Obligations” shall not include the Warrant Obligations and any obligations under any other warrant or other instrument or any equity or other investment. </w:t>
      </w:r>
    </w:p>
    <w:p>
      <w:pPr>
        <w:pStyle w:val="TextBody"/>
        <w:bidi w:val="0"/>
        <w:spacing w:before="240" w:after="0"/>
        <w:jc w:val="left"/>
        <w:rPr/>
      </w:pPr>
      <w:r>
        <w:rPr/>
        <w:t>“</w:t>
      </w:r>
      <w:r>
        <w:rPr>
          <w:rFonts w:ascii="Times New Roman" w:hAnsi="Times New Roman"/>
          <w:b/>
          <w:i/>
          <w:sz w:val="20"/>
        </w:rPr>
        <w:t>Obligors</w:t>
      </w:r>
      <w:r>
        <w:rPr>
          <w:rFonts w:ascii="Times New Roman" w:hAnsi="Times New Roman"/>
          <w:sz w:val="20"/>
        </w:rPr>
        <w:t xml:space="preserve">” means, collectively, the Issuer, the Guarantors and their respective successors and permitted assigns. </w:t>
      </w:r>
    </w:p>
    <w:p>
      <w:pPr>
        <w:pStyle w:val="TextBody"/>
        <w:bidi w:val="0"/>
        <w:spacing w:before="240" w:after="0"/>
        <w:jc w:val="left"/>
        <w:rPr/>
      </w:pPr>
      <w:r>
        <w:rPr/>
        <w:t>“</w:t>
      </w:r>
      <w:r>
        <w:rPr>
          <w:rFonts w:ascii="Times New Roman" w:hAnsi="Times New Roman"/>
          <w:b/>
          <w:i/>
          <w:sz w:val="20"/>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pPr>
      <w:r>
        <w:rPr/>
        <w:t>“</w:t>
      </w:r>
      <w:r>
        <w:rPr>
          <w:rFonts w:ascii="Times New Roman" w:hAnsi="Times New Roman"/>
          <w:b/>
          <w:i/>
          <w:sz w:val="20"/>
        </w:rPr>
        <w:t>One-Month Term SOFR</w:t>
      </w:r>
      <w:r>
        <w:rPr>
          <w:rFonts w:ascii="Times New Roman" w:hAnsi="Times New Roman"/>
          <w:sz w:val="20"/>
        </w:rPr>
        <w:t>” means, the Term SOFR Reference Rate (expressed, as a decimal, rounded upwards, if necessary, to the nearest 1/100th of 1%) for a one month tenor on the day (such day, the “</w:t>
      </w:r>
      <w:r>
        <w:rPr>
          <w:rFonts w:ascii="Times New Roman" w:hAnsi="Times New Roman"/>
          <w:b/>
          <w:i/>
          <w:sz w:val="20"/>
        </w:rPr>
        <w:t>Periodic Term SOFR Determination Day</w:t>
      </w:r>
      <w:r>
        <w:rPr>
          <w:rFonts w:ascii="Times New Roman" w:hAnsi="Times New Roman"/>
          <w:sz w:val="20"/>
        </w:rPr>
        <w:t xml:space="preserve">”) that is two (2) U.S. Government Securities Business Days prior to the first day of the Interest Period, as such rate is published by the Term SOFR Administrator; </w:t>
      </w:r>
      <w:r>
        <w:rPr>
          <w:rFonts w:ascii="Times New Roman" w:hAnsi="Times New Roman"/>
          <w:sz w:val="20"/>
          <w:u w:val="single"/>
        </w:rPr>
        <w:t>provided</w:t>
      </w:r>
      <w:r>
        <w:rPr>
          <w:rFonts w:ascii="Times New Roman" w:hAnsi="Times New Roman"/>
          <w:sz w:val="20"/>
        </w:rPr>
        <w:t xml:space="preserve">, however, that if as of 5:00 p.m. (New York City time) on any Periodic Term SOFR Determination Day the Term SOFR Reference Rate for the one month tenor has not been published by the Term SOFR Administrator, then One-Month Term SOFR will be the Term SOFR Reference Rate for a one month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p>
    <w:p>
      <w:pPr>
        <w:pStyle w:val="TextBody"/>
        <w:bidi w:val="0"/>
        <w:spacing w:before="240" w:after="0"/>
        <w:jc w:val="left"/>
        <w:rPr/>
      </w:pPr>
      <w:r>
        <w:rPr/>
        <w:t>“</w:t>
      </w:r>
      <w:r>
        <w:rPr>
          <w:rFonts w:ascii="Times New Roman" w:hAnsi="Times New Roman"/>
          <w:b/>
          <w:i/>
          <w:sz w:val="20"/>
        </w:rPr>
        <w:t>Organic Document</w:t>
      </w:r>
      <w:r>
        <w:rPr>
          <w:rFonts w:ascii="Times New Roman" w:hAnsi="Times New Roman"/>
          <w:sz w:val="20"/>
        </w:rPr>
        <w:t xml:space="preserve">” means, for any Person, such Person’s formation documents, including, as applicable its certificate of incorporation, by-laws, constitution, memorandum and articles of association, certificate of partnership, partnership agreement, certificate of formation, limited liability agreement, constitution, operating agreement and all shareholder agreements, voting trusts and similar arrangements applicable to such Person’s Equity Interests, or any equivalent document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Notes Documents, or sold or assigned an interest in any Notes or Notes Documents). </w:t>
      </w:r>
    </w:p>
    <w:p>
      <w:pPr>
        <w:pStyle w:val="TextBody"/>
        <w:bidi w:val="0"/>
        <w:spacing w:before="240" w:after="0"/>
        <w:jc w:val="left"/>
        <w:rPr/>
      </w:pPr>
      <w:r>
        <w:rPr/>
        <w:t>“</w:t>
      </w:r>
      <w:r>
        <w:rPr>
          <w:rFonts w:ascii="Times New Roman" w:hAnsi="Times New Roman"/>
          <w:b/>
          <w:i/>
          <w:sz w:val="20"/>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Notes Documents, except (a) any such Taxes that are Other Connection Taxes imposed with respect to an assignment and (b) any United Kingdom stamp duty or stamp duty reserve tax arising in connection with (i) an assignment, transfer or other alienation of the Notes or any rights or obligations under any Note Document (save to the extent such assignment, transfer or other alienation is requested by the Issuer), and (ii) to the extent not otherwise described in </w:t>
      </w:r>
      <w:r>
        <w:rPr>
          <w:rFonts w:ascii="Times New Roman" w:hAnsi="Times New Roman"/>
          <w:b/>
          <w:sz w:val="20"/>
        </w:rPr>
        <w:t xml:space="preserve">clause (i), </w:t>
      </w:r>
      <w:r>
        <w:rPr>
          <w:rFonts w:ascii="Times New Roman" w:hAnsi="Times New Roman"/>
          <w:sz w:val="20"/>
        </w:rPr>
        <w:t xml:space="preserve">the Warrant Certificates. </w:t>
      </w:r>
    </w:p>
    <w:p>
      <w:pPr>
        <w:pStyle w:val="TextBody"/>
        <w:bidi w:val="0"/>
        <w:spacing w:before="240" w:after="0"/>
        <w:jc w:val="left"/>
        <w:rPr/>
      </w:pPr>
      <w:r>
        <w:rPr/>
        <w:t>“</w:t>
      </w:r>
      <w:r>
        <w:rPr>
          <w:rFonts w:ascii="Times New Roman" w:hAnsi="Times New Roman"/>
          <w:b/>
          <w:i/>
          <w:sz w:val="20"/>
        </w:rPr>
        <w:t>Participant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Participant Register</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14.05(g)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Patents</w:t>
      </w:r>
      <w:r>
        <w:rPr>
          <w:rFonts w:ascii="Times New Roman" w:hAnsi="Times New Roman"/>
          <w:sz w:val="20"/>
        </w:rPr>
        <w:t xml:space="preserve">” means all patents and patent applications, including (a) all reissues, divisions, continuations, renewals, extensions, and continuations-in-part thereof, (b) all rights to recover for past, present, and future infringements thereof and all rights to sue therefor, and (c) all rights whatsoever accruing thereunder or pertaining thereto throughout the world. </w:t>
      </w:r>
    </w:p>
    <w:p>
      <w:pPr>
        <w:pStyle w:val="TextBody"/>
        <w:bidi w:val="0"/>
        <w:spacing w:before="240" w:after="0"/>
        <w:jc w:val="left"/>
        <w:rPr/>
      </w:pPr>
      <w:r>
        <w:rPr/>
        <w:t>“</w:t>
      </w:r>
      <w:r>
        <w:rPr>
          <w:rFonts w:ascii="Times New Roman" w:hAnsi="Times New Roman"/>
          <w:b/>
          <w:i/>
          <w:sz w:val="20"/>
        </w:rPr>
        <w:t>Patriot Act</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Payment Date</w:t>
      </w:r>
      <w:r>
        <w:rPr>
          <w:rFonts w:ascii="Times New Roman" w:hAnsi="Times New Roman"/>
          <w:sz w:val="20"/>
        </w:rPr>
        <w:t xml:space="preserve">” means (a) the last day of each Interest Period; </w:t>
      </w:r>
      <w:r>
        <w:rPr>
          <w:rFonts w:ascii="Times New Roman" w:hAnsi="Times New Roman"/>
          <w:sz w:val="20"/>
          <w:u w:val="single"/>
        </w:rPr>
        <w:t>provided</w:t>
      </w:r>
      <w:r>
        <w:rPr>
          <w:rFonts w:ascii="Times New Roman" w:hAnsi="Times New Roman"/>
          <w:sz w:val="20"/>
        </w:rPr>
        <w:t xml:space="preserve"> that if such last day of any Interest Period is not a Business Day, then the Payment Date shall be the next succeeding Business Day, and (b) the Maturity Date. </w:t>
      </w:r>
    </w:p>
    <w:p>
      <w:pPr>
        <w:pStyle w:val="TextBody"/>
        <w:bidi w:val="0"/>
        <w:spacing w:before="240" w:after="0"/>
        <w:jc w:val="left"/>
        <w:rPr/>
      </w:pPr>
      <w:r>
        <w:rPr/>
        <w:t>“</w:t>
      </w:r>
      <w:r>
        <w:rPr>
          <w:rFonts w:ascii="Times New Roman" w:hAnsi="Times New Roman"/>
          <w:b/>
          <w:i/>
          <w:sz w:val="20"/>
        </w:rPr>
        <w:t>PBGC</w:t>
      </w:r>
      <w:r>
        <w:rPr>
          <w:rFonts w:ascii="Times New Roman" w:hAnsi="Times New Roman"/>
          <w:sz w:val="20"/>
        </w:rPr>
        <w:t xml:space="preserve">” means the United States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b/>
          <w:i/>
          <w:sz w:val="20"/>
        </w:rPr>
        <w:t>Pensions Regulator</w:t>
      </w:r>
      <w:r>
        <w:rPr>
          <w:rFonts w:ascii="Times New Roman" w:hAnsi="Times New Roman"/>
          <w:sz w:val="20"/>
        </w:rPr>
        <w:t xml:space="preserve">” means the body corporate called the Pensions Regulator established under Part 1 of the UK Pensions Act 2004 (or any replacement or successor body from time to time). </w:t>
      </w:r>
    </w:p>
    <w:p>
      <w:pPr>
        <w:pStyle w:val="TextBody"/>
        <w:bidi w:val="0"/>
        <w:spacing w:before="240" w:after="0"/>
        <w:jc w:val="left"/>
        <w:rPr/>
      </w:pPr>
      <w:r>
        <w:rPr/>
        <w:t>“</w:t>
      </w:r>
      <w:r>
        <w:rPr>
          <w:rFonts w:ascii="Times New Roman" w:hAnsi="Times New Roman"/>
          <w:b/>
          <w:i/>
          <w:sz w:val="20"/>
        </w:rPr>
        <w:t>Perfection Requirements</w:t>
      </w:r>
      <w:r>
        <w:rPr>
          <w:rFonts w:ascii="Times New Roman" w:hAnsi="Times New Roman"/>
          <w:sz w:val="20"/>
        </w:rPr>
        <w:t xml:space="preserve">” means, solely in respect of the English Guarantors and the German Guarantors, the making or the procuring of filings, stampings, registrations, notarisations, endorsements, translations and/or notifications of any Notes Document (and/or any Liens created under it) necessary for the validity, enforceability (as against the relevant Obligor or any relevant third party) and/or perfection of that Notes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Periodic Term SOFR Determination Day</w:t>
      </w:r>
      <w:r>
        <w:rPr>
          <w:rFonts w:ascii="Times New Roman" w:hAnsi="Times New Roman"/>
          <w:sz w:val="20"/>
        </w:rPr>
        <w:t xml:space="preserve">” has the meaning set forth in the definition of “One-Month Term SOFR”. </w:t>
      </w:r>
    </w:p>
    <w:p>
      <w:pPr>
        <w:pStyle w:val="TextBody"/>
        <w:bidi w:val="0"/>
        <w:spacing w:before="240" w:after="0"/>
        <w:jc w:val="left"/>
        <w:rPr/>
      </w:pPr>
      <w:r>
        <w:rPr/>
        <w:t>“</w:t>
      </w:r>
      <w:r>
        <w:rPr>
          <w:rFonts w:ascii="Times New Roman" w:hAnsi="Times New Roman"/>
          <w:b/>
          <w:i/>
          <w:sz w:val="20"/>
        </w:rPr>
        <w:t>Permitted Acquisition</w:t>
      </w:r>
      <w:r>
        <w:rPr>
          <w:rFonts w:ascii="Times New Roman" w:hAnsi="Times New Roman"/>
          <w:sz w:val="20"/>
        </w:rPr>
        <w:t xml:space="preserve">” means any Acquisition by the Issuer or any of its Subsidiaries that satisfies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immediately prior to, and after giving effect to, such Acquisition, (i) all representations and warranties contained in this Agreement and the other Notes Documents that are qualified by materiality, Material Adverse Effect or the like shall be, in each case, true and correct, (ii) all representations and warranties contained in this Agreement and the other Notes Documents that are not so qualified by materiality, Material Adverse Effect or the like shall be, in each case, true and correct in all material respects, and (iii) no Event of Default shall have occurred and be continuing or could reasonably be expected to immediately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(b) all transactions in connection therewith shall be consummated in compliance in all material respects with all applicable Laws and Governmental Approvals;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 Acquisition of Equity Interests of any Person, all of such Equity Interests acquired (except for any such securities in the nature of directors’ qualifying shares required pursuant to any applicable Law), or otherwise issued by such Person or any newly formed Subsidiary of Intermediate Holdings or any of its Subsidiaries in connection with such Acquisition, shall be owned by an Obligor (other than the Issuer) or a wholly-owned Subsidiary of an Obligor, and the Issuer shall have taken, or caused to be taken, each of the actions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8.12(a)</w:t>
      </w:r>
      <w:r>
        <w:rPr>
          <w:rFonts w:ascii="Times New Roman" w:hAnsi="Times New Roman"/>
          <w:sz w:val="20"/>
        </w:rPr>
        <w:t xml:space="preserve">, if applicable, as of the date such Person becomes a Subsidiary of the Issuer; </w:t>
      </w:r>
    </w:p>
    <w:p>
      <w:pPr>
        <w:pStyle w:val="TextBody"/>
        <w:bidi w:val="0"/>
        <w:spacing w:before="120" w:after="0"/>
        <w:jc w:val="left"/>
        <w:rPr>
          <w:rFonts w:ascii="Times New Roman" w:hAnsi="Times New Roman"/>
          <w:sz w:val="20"/>
        </w:rPr>
      </w:pPr>
      <w:r>
        <w:rPr>
          <w:rFonts w:ascii="Times New Roman" w:hAnsi="Times New Roman"/>
          <w:sz w:val="20"/>
        </w:rPr>
        <w:t xml:space="preserve">(d) the Person (in the case of an Acquisition of Equity Interests), business, property, or assets subject to such Acquisition shall be engaged or used, as the case may be, in substantially the same or related, complementary, incidental or ancillary business or lines of business in which the Issuer and its Subsidiaries are engaged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after giving </w:t>
      </w:r>
      <w:r>
        <w:rPr>
          <w:rFonts w:ascii="Times New Roman" w:hAnsi="Times New Roman"/>
          <w:i/>
          <w:sz w:val="20"/>
        </w:rPr>
        <w:t>pro forma</w:t>
      </w:r>
      <w:r>
        <w:rPr>
          <w:rFonts w:ascii="Times New Roman" w:hAnsi="Times New Roman"/>
          <w:sz w:val="20"/>
        </w:rPr>
        <w:t xml:space="preserve"> effect to such Acquisition, the Issuer and its Subsidiaries shall be in compliance (i) with the financial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and (ii) with the financial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as of the most recently ended fiscal quarter (for the trailing twelve (12) consecutive month period ending on the last day of such fiscal quarter) ended on or prior to the date of such Acquisition for which financial statements have been or are required to be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8.01(a)(i)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with respect to any Acquisition, the consideration paid for such Acquisition when taken together with consideration paid for all other Acquisitions consummated or effected since the Closing Date, does not exceed $10,000,000 in the aggregate (which amount shall also include, without duplication, the aggregate amount of outstanding principal and unpaid interest (or equivalent) in respect of any Indebtedness assumed, incurred or otherwise created in connection with any such applicable Acquisitions, including all related Contingent Acquisition Obligations); </w:t>
      </w:r>
      <w:r>
        <w:rPr>
          <w:rFonts w:ascii="Times New Roman" w:hAnsi="Times New Roman"/>
          <w:sz w:val="20"/>
          <w:u w:val="single"/>
        </w:rPr>
        <w:t>provided</w:t>
      </w:r>
      <w:r>
        <w:rPr>
          <w:rFonts w:ascii="Times New Roman" w:hAnsi="Times New Roman"/>
          <w:sz w:val="20"/>
        </w:rPr>
        <w:t xml:space="preserve"> that for purposes of determining amounts to be calculated for purposes of this </w:t>
      </w:r>
      <w:r>
        <w:rPr>
          <w:rFonts w:ascii="Times New Roman" w:hAnsi="Times New Roman"/>
          <w:b/>
          <w:sz w:val="20"/>
        </w:rPr>
        <w:t>clause (f)</w:t>
      </w:r>
      <w:r>
        <w:rPr>
          <w:rFonts w:ascii="Times New Roman" w:hAnsi="Times New Roman"/>
          <w:sz w:val="20"/>
        </w:rPr>
        <w:t xml:space="preserve">, non-cash consideration shall be determined based on fair market value as determined by the Issuer’s Board acting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Issuer shall have provided the Administrative Agent with at least ten (10) calendar days’ prior written notice of any such Acquisition, together with any available summaries, prepared in reasonable detail, of all material non-confidential due diligence conducted by or on behalf of the Issuer or the applicable Subsidiary, as applicable, prior to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(h) at least three (3) Business Days prior to the proposed date of the Acquisition, the Administrative Agent shall have received a certificate of a Responsible Officer of the Issuer (prepared in reasonable detail), certifying that the Acquisition complies with the requirements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that the purchase price for any such Acquisition is paid in Equity Interests, all such Equity Interests shall be Qualified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(j) promptly upon request by the Administrative Agent in the case of any Acquisition that has a purchase price in excess of $5,000,000, the Issuer shall provide (i) a copy of the draft purchase agreement related to the proposed Acquisition (and any related documents reasonably requested by the Administrative Agent), (ii) any available quarterly and annual financial statements of the Person whose Equity Interests or assets are being acquired for the twelve (12) month period ending forty-five (45) days immediately prior to such Acquisition, including any audited financial statements that are available, and (iii) any other information reasonably requested by the Administrative Agent and available to the Obligors; and </w:t>
      </w:r>
    </w:p>
    <w:p>
      <w:pPr>
        <w:pStyle w:val="TextBody"/>
        <w:bidi w:val="0"/>
        <w:spacing w:before="120" w:after="0"/>
        <w:jc w:val="left"/>
        <w:rPr>
          <w:rFonts w:ascii="Times New Roman" w:hAnsi="Times New Roman"/>
          <w:sz w:val="20"/>
        </w:rPr>
      </w:pPr>
      <w:r>
        <w:rPr>
          <w:rFonts w:ascii="Times New Roman" w:hAnsi="Times New Roman"/>
          <w:sz w:val="20"/>
        </w:rPr>
        <w:t xml:space="preserve">(k) neither the Issuer nor any of its Subsidiaries shall, in connection with any such Acquisition, assume or remain subject to or liable with respect to (i) any Indebtedness of the related seller or the business, Person or properties acquired, except to the extent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(ii) any Lien on any business, Person or assets acquired, except to the extent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or (iii) any other liability (including Tax, ERISA and environmental liabilities), except (with respect to liabilities under this </w:t>
      </w:r>
      <w:r>
        <w:rPr>
          <w:rFonts w:ascii="Times New Roman" w:hAnsi="Times New Roman"/>
          <w:b/>
          <w:sz w:val="20"/>
        </w:rPr>
        <w:t>clause (k))</w:t>
      </w:r>
      <w:r>
        <w:rPr>
          <w:rFonts w:ascii="Times New Roman" w:hAnsi="Times New Roman"/>
          <w:sz w:val="20"/>
        </w:rPr>
        <w:t xml:space="preserve">, to the extent the assumption of any such liability could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any other such Indebtedness, liabilities or Liens not permitted to be assumed, continued or otherwise supported by the Issuer or any of its Subsidiaries hereunder shall be paid in full or released as to the business, Persons or properties being so acquired substantially on or before the consummation of such Acquisition. </w:t>
      </w:r>
    </w:p>
    <w:p>
      <w:pPr>
        <w:pStyle w:val="TextBody"/>
        <w:bidi w:val="0"/>
        <w:spacing w:before="240" w:after="0"/>
        <w:jc w:val="left"/>
        <w:rPr/>
      </w:pPr>
      <w:r>
        <w:rPr/>
        <w:t>“</w:t>
      </w:r>
      <w:r>
        <w:rPr>
          <w:rFonts w:ascii="Times New Roman" w:hAnsi="Times New Roman"/>
          <w:b/>
          <w:i/>
          <w:sz w:val="20"/>
        </w:rPr>
        <w:t>Permitted Cash Equivalent Investments</w:t>
      </w:r>
      <w:r>
        <w:rPr>
          <w:rFonts w:ascii="Times New Roman" w:hAnsi="Times New Roman"/>
          <w:sz w:val="20"/>
        </w:rPr>
        <w:t xml:space="preserve">” means (a) marketable direct obligations issued or unconditionally guaranteed by the United States, the United Kingdom or any agency or any state thereof having maturities of not more than one year from the date of acquisition, (b) commercial paper maturing no more than one year after the date of its creation and having the highest rating from either Standard &amp; Poor’s Ratings Group or Moody’s Investors Service,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certificates of deposit, or bankers’ acceptance maturing no more than one year after issue provided that the account in which any such certificate of deposit is maintained is subject to an account control agreement in favor of the Administrative Agent, (d) money market funds at least ninety five percent (95%) of the assets of which constitute Permitted Cash Equivalent Investments of the kinds described in </w:t>
      </w:r>
      <w:r>
        <w:rPr>
          <w:rFonts w:ascii="Times New Roman" w:hAnsi="Times New Roman"/>
          <w:b/>
          <w:sz w:val="20"/>
        </w:rPr>
        <w:t>clauses (a)</w:t>
      </w:r>
      <w:r>
        <w:rPr>
          <w:rFonts w:ascii="Times New Roman" w:hAnsi="Times New Roman"/>
          <w:sz w:val="20"/>
        </w:rPr>
        <w:t xml:space="preserve"> through </w:t>
      </w:r>
      <w:r>
        <w:rPr>
          <w:rFonts w:ascii="Times New Roman" w:hAnsi="Times New Roman"/>
          <w:b/>
          <w:sz w:val="20"/>
        </w:rPr>
        <w:t>(c)</w:t>
      </w:r>
      <w:r>
        <w:rPr>
          <w:rFonts w:ascii="Times New Roman" w:hAnsi="Times New Roman"/>
          <w:sz w:val="20"/>
        </w:rPr>
        <w:t xml:space="preserve"> of this definition, (e) fully collateralized repurchase agreements with a term of not more than 30 days for securities described in </w:t>
      </w:r>
      <w:r>
        <w:rPr>
          <w:rFonts w:ascii="Times New Roman" w:hAnsi="Times New Roman"/>
          <w:b/>
          <w:sz w:val="20"/>
        </w:rPr>
        <w:t>clause (a)</w:t>
      </w:r>
      <w:r>
        <w:rPr>
          <w:rFonts w:ascii="Times New Roman" w:hAnsi="Times New Roman"/>
          <w:sz w:val="20"/>
        </w:rPr>
        <w:t xml:space="preserve"> above, and (f) investments permitted pursuant to an investment policy approved by the Issuer’s Board, as amended from time to time, </w:t>
      </w:r>
      <w:r>
        <w:rPr>
          <w:rFonts w:ascii="Times New Roman" w:hAnsi="Times New Roman"/>
          <w:sz w:val="20"/>
          <w:u w:val="single"/>
        </w:rPr>
        <w:t>provided</w:t>
      </w:r>
      <w:r>
        <w:rPr>
          <w:rFonts w:ascii="Times New Roman" w:hAnsi="Times New Roman"/>
          <w:sz w:val="20"/>
        </w:rPr>
        <w:t xml:space="preserve"> that such investment policy and any amendments thereto (other than administrative amendments) shall have been approved in advance in writing by the Administrative Agent. </w:t>
      </w:r>
    </w:p>
    <w:p>
      <w:pPr>
        <w:pStyle w:val="TextBody"/>
        <w:bidi w:val="0"/>
        <w:spacing w:before="240" w:after="0"/>
        <w:jc w:val="left"/>
        <w:rPr/>
      </w:pPr>
      <w:r>
        <w:rPr/>
        <w:t>“</w:t>
      </w:r>
      <w:r>
        <w:rPr>
          <w:rFonts w:ascii="Times New Roman" w:hAnsi="Times New Roman"/>
          <w:b/>
          <w:i/>
          <w:sz w:val="20"/>
        </w:rPr>
        <w:t>Permitted Indebtedness</w:t>
      </w:r>
      <w:r>
        <w:rPr>
          <w:rFonts w:ascii="Times New Roman" w:hAnsi="Times New Roman"/>
          <w:sz w:val="20"/>
        </w:rPr>
        <w:t xml:space="preserve">” means any Indebtedness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Licenses</w:t>
      </w:r>
      <w:r>
        <w:rPr>
          <w:rFonts w:ascii="Times New Roman" w:hAnsi="Times New Roman"/>
          <w:sz w:val="20"/>
        </w:rPr>
        <w:t xml:space="preserve">” means (a) non-exclusive licenses of off-the-shelf software that is commercially available to the public, (b) intercompany licenses, sublicenses or grants of rights for research, development, manufacture, production, commercialization (including commercial sales to end users), marketing, promotion, co-promotion, sales or distribution solely between or among the Obligors; (c) any outbound non-exclusive license or sublicense of (or covenant not to sue with respect to) Intellectual Property of any Obligor; </w:t>
      </w:r>
      <w:r>
        <w:rPr>
          <w:rFonts w:ascii="Times New Roman" w:hAnsi="Times New Roman"/>
          <w:sz w:val="20"/>
          <w:u w:val="single"/>
        </w:rPr>
        <w:t>provided</w:t>
      </w:r>
      <w:r>
        <w:rPr>
          <w:rFonts w:ascii="Times New Roman" w:hAnsi="Times New Roman"/>
          <w:sz w:val="20"/>
        </w:rPr>
        <w:t xml:space="preserve">, that, with respect to each such license or sublicense described in this </w:t>
      </w:r>
      <w:r>
        <w:rPr>
          <w:rFonts w:ascii="Times New Roman" w:hAnsi="Times New Roman"/>
          <w:b/>
          <w:sz w:val="20"/>
        </w:rPr>
        <w:t>clause (c)</w:t>
      </w:r>
      <w:r>
        <w:rPr>
          <w:rFonts w:ascii="Times New Roman" w:hAnsi="Times New Roman"/>
          <w:sz w:val="20"/>
        </w:rPr>
        <w:t xml:space="preserve">, (i) such license does not (and could not reasonably be expected to) result in a sale or assignment of legal title of the licensed property, (ii) such license or sublicense is entered into in the ordinary course of business and (iii) such license or sublicense constitutes an arm’s length transaction, the terms of which, on their face, do not restrict the ability of an Obligor or its applicable Subsidiary to pledge, grant a security interest in or Lien on, or assign or otherwise transfer, any Intellectual Property; (d) with the prior written consent of the Administrative Agent (such consent not to be unreasonably withheld, delayed or conditioned), exclusive licenses (whether exclusive as to geographical scope or otherwise) for the use of the Intellectual Property of any Obligor or any of its Subsidiaries within the United States; </w:t>
      </w:r>
      <w:r>
        <w:rPr>
          <w:rFonts w:ascii="Times New Roman" w:hAnsi="Times New Roman"/>
          <w:sz w:val="20"/>
          <w:u w:val="single"/>
        </w:rPr>
        <w:t>provided</w:t>
      </w:r>
      <w:r>
        <w:rPr>
          <w:rFonts w:ascii="Times New Roman" w:hAnsi="Times New Roman"/>
          <w:sz w:val="20"/>
        </w:rPr>
        <w:t xml:space="preserve">, that, with respect to each such license described in this </w:t>
      </w:r>
      <w:r>
        <w:rPr>
          <w:rFonts w:ascii="Times New Roman" w:hAnsi="Times New Roman"/>
          <w:b/>
          <w:sz w:val="20"/>
        </w:rPr>
        <w:t>clause (d)</w:t>
      </w:r>
      <w:r>
        <w:rPr>
          <w:rFonts w:ascii="Times New Roman" w:hAnsi="Times New Roman"/>
          <w:sz w:val="20"/>
        </w:rPr>
        <w:t xml:space="preserve">, (i) such license does not (and could not reasonably be expected to) result in a sale or assignment of legal title of the licensed property, (ii) no Event of Default has occurred or is continuing at the time of execution of such license or sublicense or would be reasonably likely to result therefrom, and (iii) such license constitutes an arm’s length transaction, the terms of which, on their face, do not restrict the ability of an Obligor or its applicable Subsidiary to pledge, grant a security interest in or Lien on, or assign or otherwise transfer, any Intellectual Property; (e) Permitted Non-US Licenses; (f) any non-exclusive or exclusive license of (or covenant not to sue with respect to) Intellectual Property or technology, or a grant of rights related exclusively to products, indications and/or classes of compounds, for B-cell mediated autoimmune diseases; </w:t>
      </w:r>
      <w:r>
        <w:rPr>
          <w:rFonts w:ascii="Times New Roman" w:hAnsi="Times New Roman"/>
          <w:sz w:val="20"/>
          <w:u w:val="single"/>
        </w:rPr>
        <w:t>provided</w:t>
      </w:r>
      <w:r>
        <w:rPr>
          <w:rFonts w:ascii="Times New Roman" w:hAnsi="Times New Roman"/>
          <w:sz w:val="20"/>
        </w:rPr>
        <w:t xml:space="preserve">, that, with respect to each such license described in this </w:t>
      </w:r>
      <w:r>
        <w:rPr>
          <w:rFonts w:ascii="Times New Roman" w:hAnsi="Times New Roman"/>
          <w:b/>
          <w:sz w:val="20"/>
        </w:rPr>
        <w:t>clause (f)</w:t>
      </w:r>
      <w:r>
        <w:rPr>
          <w:rFonts w:ascii="Times New Roman" w:hAnsi="Times New Roman"/>
          <w:sz w:val="20"/>
        </w:rPr>
        <w:t xml:space="preserve">, (i) such license does not (and could not reasonably be expected to) result in a sale or assignment of legal title of the licensed property, (ii) such license constitutes an arm’s length transaction, the terms of which, on their face, do not restrict the ability of an Obligor or its applicable Subsidiary to pledge, grant a security interest in or Lien on, or assign or otherwise transfer, any Intellectual Property, and (iii) such license would not reasonably be expected to have an adverse effect in any material respect on, and/or disproportionately affect, the Administrative Agent or the Noteholders; (g) immaterial licenses or grants of rights given in the ordinary course of business (e.g., to contract research organizations); and (h) any non-exclusive or exclusive license of (or covenant not to sue with respect to) Intellectual Property or technology,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grant of rights for research, development, manufacture, production, commercialization (including commercial sales to end users), marketing, co-promotion, or distribution, existing on or contemplated as of the Closing Date, in each case of this </w:t>
      </w:r>
      <w:r>
        <w:rPr>
          <w:rFonts w:ascii="Times New Roman" w:hAnsi="Times New Roman"/>
          <w:b/>
          <w:sz w:val="20"/>
        </w:rPr>
        <w:t>clause (h)</w:t>
      </w:r>
      <w:r>
        <w:rPr>
          <w:rFonts w:ascii="Times New Roman" w:hAnsi="Times New Roman"/>
          <w:sz w:val="20"/>
        </w:rPr>
        <w:t xml:space="preserve">, to the extent set forth on </w:t>
      </w:r>
      <w:r>
        <w:rPr>
          <w:rFonts w:ascii="Times New Roman" w:hAnsi="Times New Roman"/>
          <w:b/>
          <w:sz w:val="20"/>
        </w:rPr>
        <w:t>Schedule B</w:t>
      </w:r>
      <w:r>
        <w:rPr>
          <w:rFonts w:ascii="Times New Roman" w:hAnsi="Times New Roman"/>
          <w:sz w:val="20"/>
        </w:rPr>
        <w:t xml:space="preserve">, and any replacement or extension of such a transaction. </w:t>
      </w:r>
    </w:p>
    <w:p>
      <w:pPr>
        <w:pStyle w:val="TextBody"/>
        <w:bidi w:val="0"/>
        <w:spacing w:before="240" w:after="0"/>
        <w:jc w:val="left"/>
        <w:rPr/>
      </w:pPr>
      <w:r>
        <w:rPr/>
        <w:t>“</w:t>
      </w:r>
      <w:r>
        <w:rPr>
          <w:rFonts w:ascii="Times New Roman" w:hAnsi="Times New Roman"/>
          <w:b/>
          <w:i/>
          <w:sz w:val="20"/>
        </w:rPr>
        <w:t>Permitted Liens</w:t>
      </w:r>
      <w:r>
        <w:rPr>
          <w:rFonts w:ascii="Times New Roman" w:hAnsi="Times New Roman"/>
          <w:sz w:val="20"/>
        </w:rPr>
        <w:t xml:space="preserve">” means any Liens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Non-US Licenses</w:t>
      </w:r>
      <w:r>
        <w:rPr>
          <w:rFonts w:ascii="Times New Roman" w:hAnsi="Times New Roman"/>
          <w:sz w:val="20"/>
        </w:rPr>
        <w:t xml:space="preserve">” means exclusive licenses for the use of the Intellectual Property of the Issuer or any of its Subsidiaries in discrete geographical areas outside the United States; </w:t>
      </w:r>
      <w:r>
        <w:rPr>
          <w:rFonts w:ascii="Times New Roman" w:hAnsi="Times New Roman"/>
          <w:sz w:val="20"/>
          <w:u w:val="single"/>
        </w:rPr>
        <w:t>provided</w:t>
      </w:r>
      <w:r>
        <w:rPr>
          <w:rFonts w:ascii="Times New Roman" w:hAnsi="Times New Roman"/>
          <w:sz w:val="20"/>
        </w:rPr>
        <w:t xml:space="preserve">, that, with respect to each such license, (i) such license does not (and could not reasonably be expected to) result in a sale or assignment of legal title of the licensed property, and (ii) such license constitutes an arm’s length transaction, the terms of which, on their face, do not restrict the ability of an Obligor or its applicable Subsidiary to pledge, grant a security interest in or Lien on, or assign or otherwise transfer, any Intellectual Property. </w:t>
      </w:r>
    </w:p>
    <w:p>
      <w:pPr>
        <w:pStyle w:val="TextBody"/>
        <w:bidi w:val="0"/>
        <w:spacing w:before="240" w:after="0"/>
        <w:jc w:val="left"/>
        <w:rPr/>
      </w:pPr>
      <w:r>
        <w:rPr/>
        <w:t>“</w:t>
      </w:r>
      <w:r>
        <w:rPr>
          <w:rFonts w:ascii="Times New Roman" w:hAnsi="Times New Roman"/>
          <w:b/>
          <w:i/>
          <w:sz w:val="20"/>
        </w:rPr>
        <w:t>Permitted Refinancing</w:t>
      </w:r>
      <w:r>
        <w:rPr>
          <w:rFonts w:ascii="Times New Roman" w:hAnsi="Times New Roman"/>
          <w:sz w:val="20"/>
        </w:rPr>
        <w:t xml:space="preserve">” means, with respect to any Indebtedness permitted to be refinanced, extended, renewed or replaced hereunder, any refinancings, extensions, renewals and replacements of such Indebtedness; </w:t>
      </w:r>
      <w:r>
        <w:rPr>
          <w:rFonts w:ascii="Times New Roman" w:hAnsi="Times New Roman"/>
          <w:sz w:val="20"/>
          <w:u w:val="single"/>
        </w:rPr>
        <w:t>provided</w:t>
      </w:r>
      <w:r>
        <w:rPr>
          <w:rFonts w:ascii="Times New Roman" w:hAnsi="Times New Roman"/>
          <w:sz w:val="20"/>
        </w:rPr>
        <w:t xml:space="preserve"> that such refinancing, extension, renewal or replacement shall not (a) increase the outstanding principal amount of the Indebtedness being refinanced, extended, renewed or replaced, (b) contain terms relating to outstanding principal amount, amortization, maturity, collateral security (if any) or subordination (if any), or other material terms that, taken as a whole, are less favorable in any material respect to the Issuer and its Subsidiaries or the Secured Parties than the terms of any agreement or instrument governing the Indebtedness being refinanced, (c) have an applicable interest rate or equivalent yield that exceeds the interest rate or equivalent yield of the Indebtedness being refinanced, (d) contain any new requirement to grant any Lien or to give any Guarantee that was not an existing requirement of the Indebtedness being refinanced and (e) immediately after giving effect to such refinancing, extension, renewal or replacement, no Event of Default shall have occurred as a result thereof.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company, voluntary association, partnership, limited liability company, exempted company, joint venture, trust, unincorporated organization or Governmental Authority or other entity of whatever nature. </w:t>
      </w:r>
    </w:p>
    <w:p>
      <w:pPr>
        <w:pStyle w:val="TextBody"/>
        <w:bidi w:val="0"/>
        <w:spacing w:before="240" w:after="0"/>
        <w:jc w:val="left"/>
        <w:rPr/>
      </w:pPr>
      <w:r>
        <w:rPr/>
        <w:t>“</w:t>
      </w:r>
      <w:r>
        <w:rPr>
          <w:rFonts w:ascii="Times New Roman" w:hAnsi="Times New Roman"/>
          <w:b/>
          <w:i/>
          <w:sz w:val="20"/>
        </w:rPr>
        <w:t>Personal Information</w:t>
      </w:r>
      <w:r>
        <w:rPr>
          <w:rFonts w:ascii="Times New Roman" w:hAnsi="Times New Roman"/>
          <w:sz w:val="20"/>
        </w:rPr>
        <w:t xml:space="preserve">” means information in any form that directly or indirectly identifies, relates to, describes, or is reasonably capable of being associated with or linked to, a natural Person, and/or is considered “personally identifiable information,” “protected health information,” “consumer health data,” “personal information,” “personal data,” “nonpublic personal information,” or any similar term by any applicable Data Protection Requirements. </w:t>
      </w:r>
    </w:p>
    <w:p>
      <w:pPr>
        <w:pStyle w:val="TextBody"/>
        <w:bidi w:val="0"/>
        <w:spacing w:before="240" w:after="0"/>
        <w:jc w:val="left"/>
        <w:rPr/>
      </w:pPr>
      <w:r>
        <w:rPr/>
        <w:t>“</w:t>
      </w:r>
      <w:r>
        <w:rPr>
          <w:rFonts w:ascii="Times New Roman" w:hAnsi="Times New Roman"/>
          <w:b/>
          <w:i/>
          <w:sz w:val="20"/>
        </w:rPr>
        <w:t>PLP</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Privacy Policies</w:t>
      </w:r>
      <w:r>
        <w:rPr>
          <w:rFonts w:ascii="Times New Roman" w:hAnsi="Times New Roman"/>
          <w:sz w:val="20"/>
        </w:rPr>
        <w:t xml:space="preserve">” means all published or posted policies relating to the Processing of Personal Information by Issuer and each of its Subsidiaries including informed consent forms. </w:t>
      </w:r>
    </w:p>
    <w:p>
      <w:pPr>
        <w:pStyle w:val="TextBody"/>
        <w:bidi w:val="0"/>
        <w:spacing w:before="240" w:after="0"/>
        <w:jc w:val="left"/>
        <w:rPr/>
      </w:pPr>
      <w:r>
        <w:rPr/>
        <w:t>“</w:t>
      </w:r>
      <w:r>
        <w:rPr>
          <w:rFonts w:ascii="Times New Roman" w:hAnsi="Times New Roman"/>
          <w:b/>
          <w:i/>
          <w:sz w:val="20"/>
        </w:rPr>
        <w:t>Proceeding</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Process</w:t>
      </w:r>
      <w:r>
        <w:rPr>
          <w:rFonts w:ascii="Times New Roman" w:hAnsi="Times New Roman"/>
          <w:sz w:val="20"/>
        </w:rPr>
        <w:t>” or “</w:t>
      </w:r>
      <w:r>
        <w:rPr>
          <w:rFonts w:ascii="Times New Roman" w:hAnsi="Times New Roman"/>
          <w:b/>
          <w:i/>
          <w:sz w:val="20"/>
        </w:rPr>
        <w:t>Processing</w:t>
      </w:r>
      <w:r>
        <w:rPr>
          <w:rFonts w:ascii="Times New Roman" w:hAnsi="Times New Roman"/>
          <w:sz w:val="20"/>
        </w:rPr>
        <w:t>” or “</w:t>
      </w:r>
      <w:r>
        <w:rPr>
          <w:rFonts w:ascii="Times New Roman" w:hAnsi="Times New Roman"/>
          <w:b/>
          <w:i/>
          <w:sz w:val="20"/>
        </w:rPr>
        <w:t>Processed</w:t>
      </w:r>
      <w:r>
        <w:rPr>
          <w:rFonts w:ascii="Times New Roman" w:hAnsi="Times New Roman"/>
          <w:sz w:val="20"/>
        </w:rPr>
        <w:t xml:space="preserve">” shall mean, with respect to data, the access, use, collection, treatment, processing, storage, hosting, recording, organization, adaption, alteration, transfer, retrieval, transmittal, consultation, disclosure, disposal, dissemination or combination of such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Product</w:t>
      </w:r>
      <w:r>
        <w:rPr>
          <w:rFonts w:ascii="Times New Roman" w:hAnsi="Times New Roman"/>
          <w:sz w:val="20"/>
        </w:rPr>
        <w:t xml:space="preserve">” means the Issuer’s obecabtagene autoleucel product (obe-cel), including any product commercialized under the brand name AUCATZYL. </w:t>
      </w:r>
    </w:p>
    <w:p>
      <w:pPr>
        <w:pStyle w:val="TextBody"/>
        <w:bidi w:val="0"/>
        <w:spacing w:before="240" w:after="0"/>
        <w:jc w:val="left"/>
        <w:rPr/>
      </w:pPr>
      <w:r>
        <w:rPr/>
        <w:t>“</w:t>
      </w:r>
      <w:r>
        <w:rPr>
          <w:rFonts w:ascii="Times New Roman" w:hAnsi="Times New Roman"/>
          <w:b/>
          <w:i/>
          <w:sz w:val="20"/>
        </w:rPr>
        <w:t>Product Authorizations</w:t>
      </w:r>
      <w:r>
        <w:rPr>
          <w:rFonts w:ascii="Times New Roman" w:hAnsi="Times New Roman"/>
          <w:sz w:val="20"/>
        </w:rPr>
        <w:t xml:space="preserve">” means all Governmental Approvals (including all applicable NDAs, INDs, and supplements and amendments thereto from any Regulatory Authority), necessary to be held or maintained by, or for the benefit of, any Obligor or any of its Subsidiaries for the research, development, ownership, use, or commercialization of any Product, or for any Product Commercialization and Development Activities with respect thereto, in any country or jurisdiction. </w:t>
      </w:r>
    </w:p>
    <w:p>
      <w:pPr>
        <w:pStyle w:val="TextBody"/>
        <w:bidi w:val="0"/>
        <w:spacing w:before="240" w:after="0"/>
        <w:jc w:val="left"/>
        <w:rPr/>
      </w:pPr>
      <w:r>
        <w:rPr/>
        <w:t>“</w:t>
      </w:r>
      <w:r>
        <w:rPr>
          <w:rFonts w:ascii="Times New Roman" w:hAnsi="Times New Roman"/>
          <w:b/>
          <w:i/>
          <w:sz w:val="20"/>
        </w:rPr>
        <w:t>Product Commercialization and Development Activities</w:t>
      </w:r>
      <w:r>
        <w:rPr>
          <w:rFonts w:ascii="Times New Roman" w:hAnsi="Times New Roman"/>
          <w:sz w:val="20"/>
        </w:rPr>
        <w:t xml:space="preserve">” means, with respect to any Product, any combination of research, development, testing, manufacture, formulation, import, export, use, sale, licensing, shipping, storage, handling, design, labeling, marketing, promotion, co-promotion, supply, distribution, packaging, purchasing or other commercialization activities with respect to such Product, including the receipt of payment in respect of any of the foregoing (including royalties, licensing, milestones, or similar payments). </w:t>
      </w:r>
    </w:p>
    <w:p>
      <w:pPr>
        <w:pStyle w:val="TextBody"/>
        <w:bidi w:val="0"/>
        <w:spacing w:before="240" w:after="0"/>
        <w:jc w:val="left"/>
        <w:rPr/>
      </w:pPr>
      <w:r>
        <w:rPr/>
        <w:t>“</w:t>
      </w:r>
      <w:r>
        <w:rPr>
          <w:rFonts w:ascii="Times New Roman" w:hAnsi="Times New Roman"/>
          <w:b/>
          <w:i/>
          <w:sz w:val="20"/>
        </w:rPr>
        <w:t>Prohibited Payment</w:t>
      </w:r>
      <w:r>
        <w:rPr>
          <w:rFonts w:ascii="Times New Roman" w:hAnsi="Times New Roman"/>
          <w:sz w:val="20"/>
        </w:rPr>
        <w:t xml:space="preserve">”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 in each case that is prohibited under any applicable Law. </w:t>
      </w:r>
    </w:p>
    <w:p>
      <w:pPr>
        <w:pStyle w:val="TextBody"/>
        <w:bidi w:val="0"/>
        <w:spacing w:before="240" w:after="0"/>
        <w:jc w:val="left"/>
        <w:rPr/>
      </w:pPr>
      <w:r>
        <w:rPr/>
        <w:t>“</w:t>
      </w:r>
      <w:r>
        <w:rPr>
          <w:rFonts w:ascii="Times New Roman" w:hAnsi="Times New Roman"/>
          <w:b/>
          <w:i/>
          <w:sz w:val="20"/>
        </w:rPr>
        <w:t>Proportionate Share</w:t>
      </w:r>
      <w:r>
        <w:rPr>
          <w:rFonts w:ascii="Times New Roman" w:hAnsi="Times New Roman"/>
          <w:sz w:val="20"/>
        </w:rPr>
        <w:t xml:space="preserve">” means, with respect to each Noteholder, the percentage obtained by dividing (i) the sum of all Commitments (or, if the Commitments are terminated, the outstanding principal amount of the Notes) of such Noteholder then in effect by (ii) the sum of all Commitments (or, if the Commitments are terminated, the outstanding principal amount of the Notes) of all Noteholders then in effect. </w:t>
      </w:r>
    </w:p>
    <w:p>
      <w:pPr>
        <w:pStyle w:val="TextBody"/>
        <w:bidi w:val="0"/>
        <w:spacing w:before="240" w:after="0"/>
        <w:jc w:val="left"/>
        <w:rPr/>
      </w:pPr>
      <w:r>
        <w:rPr/>
        <w:t>“</w:t>
      </w:r>
      <w:r>
        <w:rPr>
          <w:rFonts w:ascii="Times New Roman" w:hAnsi="Times New Roman"/>
          <w:b/>
          <w:i/>
          <w:sz w:val="20"/>
        </w:rPr>
        <w:t>Proposal Letter</w:t>
      </w:r>
      <w:r>
        <w:rPr>
          <w:rFonts w:ascii="Times New Roman" w:hAnsi="Times New Roman"/>
          <w:sz w:val="20"/>
        </w:rPr>
        <w:t xml:space="preserve">” means the Proposal Letter, dated June 19, 2026, between the Issuer and Perceptive Advisors LLC (as supplemented by the outline of proposed terms and conditions attached thereto). </w:t>
      </w:r>
    </w:p>
    <w:p>
      <w:pPr>
        <w:pStyle w:val="TextBody"/>
        <w:bidi w:val="0"/>
        <w:spacing w:before="240" w:after="0"/>
        <w:jc w:val="left"/>
        <w:rPr/>
      </w:pPr>
      <w:r>
        <w:rPr/>
        <w:t>“</w:t>
      </w:r>
      <w:r>
        <w:rPr>
          <w:rFonts w:ascii="Times New Roman" w:hAnsi="Times New Roman"/>
          <w:b/>
          <w:i/>
          <w:sz w:val="20"/>
        </w:rPr>
        <w:t>QEB Exemption</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3.02(f)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Qualified Equity Interest</w:t>
      </w:r>
      <w:r>
        <w:rPr>
          <w:rFonts w:ascii="Times New Roman" w:hAnsi="Times New Roman"/>
          <w:sz w:val="20"/>
        </w:rPr>
        <w:t xml:space="preserve">” means, with respect to any Person, any Equity Interest of such Person that is not a Disqualified Equity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Qualified Plan</w:t>
      </w:r>
      <w:r>
        <w:rPr>
          <w:rFonts w:ascii="Times New Roman" w:hAnsi="Times New Roman"/>
          <w:sz w:val="20"/>
        </w:rPr>
        <w:t xml:space="preserve">” means an employee benefit plan (as defined in Section 3(3) of ERISA) other than a Multiemployer Plan (a) that is or was at any time maintained or sponsored by any Obligor or any ERISA Affiliate thereof or to which any Obligor or any ERISA Affiliate thereof has ever made, or was ever obligated to make, contributions, and (b) that is intended to be tax qualified under Section 401(a) of the Code. </w:t>
      </w:r>
    </w:p>
    <w:p>
      <w:pPr>
        <w:pStyle w:val="TextBody"/>
        <w:bidi w:val="0"/>
        <w:spacing w:before="240" w:after="0"/>
        <w:jc w:val="left"/>
        <w:rPr/>
      </w:pPr>
      <w:r>
        <w:rPr/>
        <w:t>“</w:t>
      </w:r>
      <w:r>
        <w:rPr>
          <w:rFonts w:ascii="Times New Roman" w:hAnsi="Times New Roman"/>
          <w:b/>
          <w:i/>
          <w:sz w:val="20"/>
        </w:rPr>
        <w:t>Real Property Collateral Security Documents</w:t>
      </w:r>
      <w:r>
        <w:rPr>
          <w:rFonts w:ascii="Times New Roman" w:hAnsi="Times New Roman"/>
          <w:sz w:val="20"/>
        </w:rPr>
        <w:t xml:space="preserve">” means any mortgage or deed of trust or any other real property security document executed or required hereunder to be executed by the applicable Obligors and granting a security interest in real property owned or leased (as tenant) by such Obligor in favor of the Secured Parties for purposes of securing the Obligations. </w:t>
      </w:r>
    </w:p>
    <w:p>
      <w:pPr>
        <w:pStyle w:val="TextBody"/>
        <w:bidi w:val="0"/>
        <w:spacing w:before="240" w:after="0"/>
        <w:jc w:val="left"/>
        <w:rPr/>
      </w:pPr>
      <w:r>
        <w:rPr/>
        <w:t>“</w:t>
      </w:r>
      <w:r>
        <w:rPr>
          <w:rFonts w:ascii="Times New Roman" w:hAnsi="Times New Roman"/>
          <w:b/>
          <w:i/>
          <w:sz w:val="20"/>
        </w:rPr>
        <w:t>Recipient</w:t>
      </w:r>
      <w:r>
        <w:rPr>
          <w:rFonts w:ascii="Times New Roman" w:hAnsi="Times New Roman"/>
          <w:sz w:val="20"/>
        </w:rPr>
        <w:t xml:space="preserve">” means any Noteholder, the Administrative Agent or any other recipient of any payment to be made by or on account of any Obligation (other than any Participant), as applicable. </w:t>
      </w:r>
    </w:p>
    <w:p>
      <w:pPr>
        <w:pStyle w:val="TextBody"/>
        <w:bidi w:val="0"/>
        <w:spacing w:before="240" w:after="0"/>
        <w:jc w:val="left"/>
        <w:rPr/>
      </w:pPr>
      <w:r>
        <w:rPr/>
        <w:t>“</w:t>
      </w:r>
      <w:r>
        <w:rPr>
          <w:rFonts w:ascii="Times New Roman" w:hAnsi="Times New Roman"/>
          <w:b/>
          <w:i/>
          <w:sz w:val="20"/>
        </w:rPr>
        <w:t>Recognised Stock Exchange</w:t>
      </w:r>
      <w:r>
        <w:rPr>
          <w:rFonts w:ascii="Times New Roman" w:hAnsi="Times New Roman"/>
          <w:sz w:val="20"/>
        </w:rPr>
        <w:t xml:space="preserve">” has the meaning given to that term in section 1005 of the UK ITA. </w:t>
      </w:r>
    </w:p>
    <w:p>
      <w:pPr>
        <w:pStyle w:val="TextBody"/>
        <w:bidi w:val="0"/>
        <w:spacing w:before="240" w:after="0"/>
        <w:jc w:val="left"/>
        <w:rPr/>
      </w:pPr>
      <w:r>
        <w:rPr/>
        <w:t>“</w:t>
      </w:r>
      <w:r>
        <w:rPr>
          <w:rFonts w:ascii="Times New Roman" w:hAnsi="Times New Roman"/>
          <w:b/>
          <w:i/>
          <w:sz w:val="20"/>
        </w:rPr>
        <w:t>Reference Rate</w:t>
      </w:r>
      <w:r>
        <w:rPr>
          <w:rFonts w:ascii="Times New Roman" w:hAnsi="Times New Roman"/>
          <w:sz w:val="20"/>
        </w:rPr>
        <w:t xml:space="preserve">” means One-Month Term SOFR; </w:t>
      </w:r>
      <w:r>
        <w:rPr>
          <w:rFonts w:ascii="Times New Roman" w:hAnsi="Times New Roman"/>
          <w:sz w:val="20"/>
          <w:u w:val="single"/>
        </w:rPr>
        <w:t>provided</w:t>
      </w:r>
      <w:r>
        <w:rPr>
          <w:rFonts w:ascii="Times New Roman" w:hAnsi="Times New Roman"/>
          <w:sz w:val="20"/>
        </w:rPr>
        <w:t xml:space="preserve"> that if the Administrative Agent determines (which determination shall be conclusive absent manifest or demonstrable error) that One-Month Term SOFR cannot be determined pursuant to the definition thereof or a Reference Rate Transition Event has occurred with respect to One-Month Term SOFR or the then-current Reference Rate, then “Reference Rate” means the applicable “Reference Rate Replacement” to the extent that such Reference Rate Replacement has replaced such prior reference rate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Reference Rate Replacement</w:t>
      </w:r>
      <w:r>
        <w:rPr>
          <w:rFonts w:ascii="Times New Roman" w:hAnsi="Times New Roman"/>
          <w:sz w:val="20"/>
        </w:rPr>
        <w:t xml:space="preserve">” means, with respect to any Reference Rate Transition Event, an alternate reference rate that has been selected by the Administrative Agent and the Issuer, each of which agree, in good faith, to establish an alternate reference rate of interest to One-Month Term SOFR that gives due consideration to the then prevailing market convention for determining a rate of interest for middle-market loans in the United States at such time, and shall enter into an amendment to this Agreement to reflect such alternate rate of interest and such other related changes to this Agreement as may be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until such alternate rate of interest is agreed upon by the Administrative Agent and the Issuer, the Reference Rate for purposes hereof and of each other Notes Document shall be the Wall Street Journal Prime Rate. </w:t>
      </w:r>
    </w:p>
    <w:p>
      <w:pPr>
        <w:pStyle w:val="TextBody"/>
        <w:bidi w:val="0"/>
        <w:spacing w:before="240" w:after="0"/>
        <w:jc w:val="left"/>
        <w:rPr/>
      </w:pPr>
      <w:r>
        <w:rPr/>
        <w:t>“</w:t>
      </w:r>
      <w:r>
        <w:rPr>
          <w:rFonts w:ascii="Times New Roman" w:hAnsi="Times New Roman"/>
          <w:b/>
          <w:i/>
          <w:sz w:val="20"/>
        </w:rPr>
        <w:t>Reference Rate Transition Event</w:t>
      </w:r>
      <w:r>
        <w:rPr>
          <w:rFonts w:ascii="Times New Roman" w:hAnsi="Times New Roman"/>
          <w:sz w:val="20"/>
        </w:rPr>
        <w:t xml:space="preserve">” means the occurrence of one or more of the following events with respect to the Reference Rate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Reference Rate announcing that such administrator has ceased or will cease to provide such Reference Rate,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Reference Rate;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Governmental Authority governing or regulating the administrator of such Reference Rate, the U.S. Federal Reserve System, an insolvency official with jurisdiction over the then-current administrator for such Reference Rate, a resolution authority with jurisdiction over the then-current administrator for such Reference Rate or a court or an entity with similar insolvency or resolution authority over the administrator for such Reference Rate,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any case states that the then-current administrator of such Reference Rate has ceased or will cease to provide such Reference Rate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Reference Rate;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Governmental Authority governing or regulating the then-current administrator of such Reference Rate announcing that such Reference Rate is no longer representative. </w:t>
      </w:r>
    </w:p>
    <w:p>
      <w:pPr>
        <w:pStyle w:val="TextBody"/>
        <w:bidi w:val="0"/>
        <w:spacing w:before="240" w:after="0"/>
        <w:jc w:val="left"/>
        <w:rPr>
          <w:rFonts w:ascii="Times New Roman" w:hAnsi="Times New Roman"/>
          <w:sz w:val="20"/>
        </w:rPr>
      </w:pPr>
      <w:r>
        <w:rPr>
          <w:rFonts w:ascii="Times New Roman" w:hAnsi="Times New Roman"/>
          <w:sz w:val="20"/>
        </w:rPr>
        <w:t>For the avoidance of doubt, a “</w:t>
      </w:r>
      <w:r>
        <w:rPr>
          <w:rFonts w:ascii="Times New Roman" w:hAnsi="Times New Roman"/>
          <w:b/>
          <w:i/>
          <w:sz w:val="20"/>
        </w:rPr>
        <w:t>Reference Rate Transition Event</w:t>
      </w:r>
      <w:r>
        <w:rPr>
          <w:rFonts w:ascii="Times New Roman" w:hAnsi="Times New Roman"/>
          <w:sz w:val="20"/>
        </w:rPr>
        <w:t xml:space="preserve">” will be deemed to have occurred with respect to any Reference Rate if a public statement or publication of information set forth above has occurred with respect to each then-current available tenor of such Reference Rate (or the published component used in the calculation thereof). </w:t>
      </w:r>
    </w:p>
    <w:p>
      <w:pPr>
        <w:pStyle w:val="TextBody"/>
        <w:bidi w:val="0"/>
        <w:spacing w:before="240" w:after="0"/>
        <w:jc w:val="left"/>
        <w:rPr/>
      </w:pPr>
      <w:r>
        <w:rPr/>
        <w:t>“</w:t>
      </w:r>
      <w:r>
        <w:rPr>
          <w:rFonts w:ascii="Times New Roman" w:hAnsi="Times New Roman"/>
          <w:b/>
          <w:i/>
          <w:sz w:val="20"/>
        </w:rPr>
        <w:t>Regulation T</w:t>
      </w:r>
      <w:r>
        <w:rPr>
          <w:rFonts w:ascii="Times New Roman" w:hAnsi="Times New Roman"/>
          <w:sz w:val="20"/>
        </w:rPr>
        <w:t xml:space="preserve">” means Regulation T of the Board of Governors of the Federal Reserve System, as amended. </w:t>
      </w:r>
    </w:p>
    <w:p>
      <w:pPr>
        <w:pStyle w:val="TextBody"/>
        <w:bidi w:val="0"/>
        <w:spacing w:before="240" w:after="0"/>
        <w:jc w:val="left"/>
        <w:rPr/>
      </w:pPr>
      <w:r>
        <w:rPr/>
        <w:t>“</w:t>
      </w:r>
      <w:r>
        <w:rPr>
          <w:rFonts w:ascii="Times New Roman" w:hAnsi="Times New Roman"/>
          <w:b/>
          <w:i/>
          <w:sz w:val="20"/>
        </w:rPr>
        <w:t>Regulation U</w:t>
      </w:r>
      <w:r>
        <w:rPr>
          <w:rFonts w:ascii="Times New Roman" w:hAnsi="Times New Roman"/>
          <w:sz w:val="20"/>
        </w:rPr>
        <w:t xml:space="preserve">” means Regulation U of the Board of Governors of the Federal Reserve System, as amended. </w:t>
      </w:r>
    </w:p>
    <w:p>
      <w:pPr>
        <w:pStyle w:val="TextBody"/>
        <w:bidi w:val="0"/>
        <w:spacing w:before="240" w:after="0"/>
        <w:jc w:val="left"/>
        <w:rPr/>
      </w:pPr>
      <w:r>
        <w:rPr/>
        <w:t>“</w:t>
      </w:r>
      <w:r>
        <w:rPr>
          <w:rFonts w:ascii="Times New Roman" w:hAnsi="Times New Roman"/>
          <w:b/>
          <w:i/>
          <w:sz w:val="20"/>
        </w:rPr>
        <w:t>Regulation X</w:t>
      </w:r>
      <w:r>
        <w:rPr>
          <w:rFonts w:ascii="Times New Roman" w:hAnsi="Times New Roman"/>
          <w:sz w:val="20"/>
        </w:rPr>
        <w:t xml:space="preserve">” means Regulation X of the Board of Governors of the Federal Reserve System, as amended. </w:t>
      </w:r>
    </w:p>
    <w:p>
      <w:pPr>
        <w:pStyle w:val="TextBody"/>
        <w:bidi w:val="0"/>
        <w:spacing w:before="240" w:after="0"/>
        <w:jc w:val="left"/>
        <w:rPr/>
      </w:pPr>
      <w:r>
        <w:rPr/>
        <w:t>“</w:t>
      </w:r>
      <w:r>
        <w:rPr>
          <w:rFonts w:ascii="Times New Roman" w:hAnsi="Times New Roman"/>
          <w:b/>
          <w:i/>
          <w:sz w:val="20"/>
        </w:rPr>
        <w:t>Regulatory Authority</w:t>
      </w:r>
      <w:r>
        <w:rPr>
          <w:rFonts w:ascii="Times New Roman" w:hAnsi="Times New Roman"/>
          <w:sz w:val="20"/>
        </w:rPr>
        <w:t xml:space="preserve">” means any Governmental Authority, whether U.S. or non-U.S., that has regulatory or supervisory oversight under applicable Laws with respect to the use, permitting, control, safety, efficacy, reliability, manufacturing, marketing, distribution, sale or other Product Commercialization and Development Activities relating to any Product of any Obligor, including the FDA and all equivalent Governmental Authorities. </w:t>
      </w:r>
    </w:p>
    <w:p>
      <w:pPr>
        <w:pStyle w:val="TextBody"/>
        <w:bidi w:val="0"/>
        <w:spacing w:before="240" w:after="0"/>
        <w:jc w:val="left"/>
        <w:rPr/>
      </w:pPr>
      <w:r>
        <w:rPr/>
        <w:t>“</w:t>
      </w:r>
      <w:r>
        <w:rPr>
          <w:rFonts w:ascii="Times New Roman" w:hAnsi="Times New Roman"/>
          <w:b/>
          <w:i/>
          <w:sz w:val="20"/>
        </w:rPr>
        <w:t>Reinvestment Period</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Related Fund</w:t>
      </w:r>
      <w:r>
        <w:rPr>
          <w:rFonts w:ascii="Times New Roman" w:hAnsi="Times New Roman"/>
          <w:sz w:val="20"/>
        </w:rPr>
        <w:t xml:space="preserve">” means, with respect to any Noteholder, a fund which is managed or advised by the same investment manager or investment adviser as such Noteholder or, if it is managed by a different investment manager or investment adviser, a fund whose investment manager or investment adviser is an Affiliate of the investment manager or investment adviser of such Noteholder. </w:t>
      </w:r>
    </w:p>
    <w:p>
      <w:pPr>
        <w:pStyle w:val="TextBody"/>
        <w:bidi w:val="0"/>
        <w:spacing w:before="240" w:after="0"/>
        <w:jc w:val="left"/>
        <w:rPr/>
      </w:pPr>
      <w:r>
        <w:rPr/>
        <w:t>“</w:t>
      </w:r>
      <w:r>
        <w:rPr>
          <w:rFonts w:ascii="Times New Roman" w:hAnsi="Times New Roman"/>
          <w:b/>
          <w:i/>
          <w:sz w:val="20"/>
        </w:rPr>
        <w:t>Related Parties</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14.16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of any Person means each of the president, chief executive officer, chief financial officer, chief accounting officer, director, secretary, treasurer, general counsel and similar officer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Restricted Payment</w:t>
      </w:r>
      <w:r>
        <w:rPr>
          <w:rFonts w:ascii="Times New Roman" w:hAnsi="Times New Roman"/>
          <w:sz w:val="20"/>
        </w:rPr>
        <w:t xml:space="preserve">” means any dividend or other distribution (whether in cash, Equity Interests or other property) with respect to any Equity Interests of the Issuer or any of its Subsidiaries, any payment of interest, principal or fees in respect of any Indebtedness owed by the Issuer or any of its Subsidiaries to any holder of any Equity Interests of the Issuer or any of its Subsidiaries, or any payment (whether in cash, Equity Interests or other property), including any sinking fund or similar deposit, on account of the purchase, redemption, retirement, acquisition, cancellation or termination of any such Equity Interests of the Issuer or any of its Subsidiaries, or any option, warrant or other right to acquire any such Equity Interests of the Issuer or any of its Subsidiaries. </w:t>
      </w:r>
    </w:p>
    <w:p>
      <w:pPr>
        <w:pStyle w:val="TextBody"/>
        <w:bidi w:val="0"/>
        <w:spacing w:before="240" w:after="0"/>
        <w:jc w:val="left"/>
        <w:rPr/>
      </w:pPr>
      <w:r>
        <w:rPr/>
        <w:t>“</w:t>
      </w:r>
      <w:r>
        <w:rPr>
          <w:rFonts w:ascii="Times New Roman" w:hAnsi="Times New Roman"/>
          <w:b/>
          <w:i/>
          <w:sz w:val="20"/>
        </w:rPr>
        <w:t>Restrictive Agreement</w:t>
      </w:r>
      <w:r>
        <w:rPr>
          <w:rFonts w:ascii="Times New Roman" w:hAnsi="Times New Roman"/>
          <w:sz w:val="20"/>
        </w:rPr>
        <w:t xml:space="preserve">” means any Contract or other arrangement that prohibits, restricts or imposes any condition upon (a) the ability of the Issuer or any of its Subsidiaries to create, incur or permit to exist any Lien upon any of its properties or assets (other than (i) customary provisions in Contracts, including anti-assignment clauses, leases and licenses of Intellectual Property (including, without limitation, licenses to off-the-shelf software, open source code and/or application programming interfaces of others that are commercially available to the public under shrink-wrap licenses or clickwrap licenses), online terms of service or other terms of use restricting the assignment thereof and (ii) restrictions or conditions imposed by any Contract governing secured Permitted Indebtedness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9.01(g)</w:t>
      </w:r>
      <w:r>
        <w:rPr>
          <w:rFonts w:ascii="Times New Roman" w:hAnsi="Times New Roman"/>
          <w:sz w:val="20"/>
        </w:rPr>
        <w:t xml:space="preserve">), or (b) the ability of the Issuer or any of its Subsidiaries to make Restricted Payments with respect to any of their respective Equity Interests or to make or repay loans or advances to, or Guarantee Indebtedness of, the Issuer or any of its Subsidiaries. </w:t>
      </w:r>
    </w:p>
    <w:p>
      <w:pPr>
        <w:pStyle w:val="TextBody"/>
        <w:bidi w:val="0"/>
        <w:spacing w:before="240" w:after="0"/>
        <w:jc w:val="left"/>
        <w:rPr/>
      </w:pPr>
      <w:r>
        <w:rPr/>
        <w:t>“</w:t>
      </w:r>
      <w:r>
        <w:rPr>
          <w:rFonts w:ascii="Times New Roman" w:hAnsi="Times New Roman"/>
          <w:b/>
          <w:i/>
          <w:sz w:val="20"/>
        </w:rPr>
        <w:t>Sanction</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Member State of the European Union, the United Kingdom or other relevant sanctions authority. </w:t>
      </w:r>
    </w:p>
    <w:p>
      <w:pPr>
        <w:pStyle w:val="TextBody"/>
        <w:bidi w:val="0"/>
        <w:spacing w:before="240" w:after="0"/>
        <w:jc w:val="left"/>
        <w:rPr/>
      </w:pPr>
      <w:r>
        <w:rPr/>
        <w:t>“</w:t>
      </w:r>
      <w:r>
        <w:rPr>
          <w:rFonts w:ascii="Times New Roman" w:hAnsi="Times New Roman"/>
          <w:b/>
          <w:i/>
          <w:sz w:val="20"/>
        </w:rPr>
        <w:t>Second Interest Step Down Date</w:t>
      </w:r>
      <w:r>
        <w:rPr>
          <w:rFonts w:ascii="Times New Roman" w:hAnsi="Times New Roman"/>
          <w:sz w:val="20"/>
        </w:rPr>
        <w:t xml:space="preserve">” has the meaning set forth in the definition of “Applicable Margin”. </w:t>
      </w:r>
    </w:p>
    <w:p>
      <w:pPr>
        <w:pStyle w:val="TextBody"/>
        <w:bidi w:val="0"/>
        <w:spacing w:before="240" w:after="0"/>
        <w:jc w:val="left"/>
        <w:rPr/>
      </w:pPr>
      <w:r>
        <w:rPr/>
        <w:t>“</w:t>
      </w:r>
      <w:r>
        <w:rPr>
          <w:rFonts w:ascii="Times New Roman" w:hAnsi="Times New Roman"/>
          <w:b/>
          <w:i/>
          <w:sz w:val="20"/>
        </w:rPr>
        <w:t>Secured Party</w:t>
      </w:r>
      <w:r>
        <w:rPr>
          <w:rFonts w:ascii="Times New Roman" w:hAnsi="Times New Roman"/>
          <w:sz w:val="20"/>
        </w:rPr>
        <w:t xml:space="preserve">” means each Noteholder, the Administrative Agent, each other Indemnified Party, any other holder of any Obligation, and any of their respective permitted transferees or assigns. </w:t>
      </w:r>
    </w:p>
    <w:p>
      <w:pPr>
        <w:pStyle w:val="TextBody"/>
        <w:bidi w:val="0"/>
        <w:spacing w:before="240" w:after="0"/>
        <w:jc w:val="left"/>
        <w:rPr/>
      </w:pPr>
      <w:r>
        <w:rPr/>
        <w:t>“</w:t>
      </w:r>
      <w:r>
        <w:rPr>
          <w:rFonts w:ascii="Times New Roman" w:hAnsi="Times New Roman"/>
          <w:b/>
          <w:i/>
          <w:sz w:val="20"/>
        </w:rPr>
        <w:t>Securities Account</w:t>
      </w:r>
      <w:r>
        <w:rPr>
          <w:rFonts w:ascii="Times New Roman" w:hAnsi="Times New Roman"/>
          <w:sz w:val="20"/>
        </w:rPr>
        <w:t xml:space="preserve">” means any securities account, as such term is defined in Section 8-501 of the NY UCC.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i/>
          <w:sz w:val="20"/>
        </w:rPr>
        <w:t>Security Agreement</w:t>
      </w:r>
      <w:r>
        <w:rPr>
          <w:rFonts w:ascii="Times New Roman" w:hAnsi="Times New Roman"/>
          <w:sz w:val="20"/>
        </w:rPr>
        <w:t xml:space="preserve">” means the Security Agreement, dated as of the Closing Date, among the Obligors and the Administrative Agent, as amended or otherwise modified from time to time. </w:t>
      </w:r>
    </w:p>
    <w:p>
      <w:pPr>
        <w:pStyle w:val="TextBody"/>
        <w:bidi w:val="0"/>
        <w:spacing w:before="240" w:after="0"/>
        <w:jc w:val="left"/>
        <w:rPr/>
      </w:pPr>
      <w:r>
        <w:rPr/>
        <w:t>“</w:t>
      </w:r>
      <w:r>
        <w:rPr>
          <w:rFonts w:ascii="Times New Roman" w:hAnsi="Times New Roman"/>
          <w:b/>
          <w:i/>
          <w:sz w:val="20"/>
        </w:rPr>
        <w:t>Security Documents</w:t>
      </w:r>
      <w:r>
        <w:rPr>
          <w:rFonts w:ascii="Times New Roman" w:hAnsi="Times New Roman"/>
          <w:sz w:val="20"/>
        </w:rPr>
        <w:t xml:space="preserve">” means, collectively, the Security Agreement, each Short-Form IP Security Agreement, each Real Property Collateral Security Document (if any), each Foreign Collateral Security Document, each Foreign Real Property Security Document and each other security agreement, control agreement or financing statement, registration, recordation, filing, instrument or approval required, entered into or recommended to grant, perfect and otherwise render enforceable Liens in favor of the Secured Parties for purposes of securing the Obligations, including (without limitation)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Security Incident</w:t>
      </w:r>
      <w:r>
        <w:rPr>
          <w:rFonts w:ascii="Times New Roman" w:hAnsi="Times New Roman"/>
          <w:sz w:val="20"/>
        </w:rPr>
        <w:t xml:space="preserve">” means any (a) unlawful or unauthorized access, use, loss, exfiltration, disclosure, alteration, destruction, encryption, compromise, or other Processing of Personal Information and/or confidential information, or access to or compromise of IT Systems used to Process Personal Information or confidential information; or (b)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b/>
          <w:i/>
          <w:sz w:val="20"/>
        </w:rPr>
        <w:t>Short-Form IP Security Agreement</w:t>
      </w:r>
      <w:r>
        <w:rPr>
          <w:rFonts w:ascii="Times New Roman" w:hAnsi="Times New Roman"/>
          <w:sz w:val="20"/>
        </w:rPr>
        <w:t xml:space="preserve">” means short-form Copyright, Patent or Trademark (as the case may be) security agreements substantially in the form of Exhibits C, D and E to the Security Agreement, entered into by one or more Obligors, as amended, modified or replaced from time to time. </w:t>
      </w:r>
    </w:p>
    <w:p>
      <w:pPr>
        <w:pStyle w:val="TextBody"/>
        <w:bidi w:val="0"/>
        <w:spacing w:before="240" w:after="0"/>
        <w:jc w:val="left"/>
        <w:rPr/>
      </w:pPr>
      <w:r>
        <w:rPr/>
        <w:t>“</w:t>
      </w:r>
      <w:r>
        <w:rPr>
          <w:rFonts w:ascii="Times New Roman" w:hAnsi="Times New Roman"/>
          <w:b/>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t>“</w:t>
      </w:r>
      <w:r>
        <w:rPr>
          <w:rFonts w:ascii="Times New Roman" w:hAnsi="Times New Roman"/>
          <w:b/>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b/>
          <w:i/>
          <w:sz w:val="20"/>
        </w:rPr>
        <w:t>Solvent</w:t>
      </w:r>
      <w:r>
        <w:rPr>
          <w:rFonts w:ascii="Times New Roman" w:hAnsi="Times New Roman"/>
          <w:sz w:val="20"/>
        </w:rPr>
        <w:t xml:space="preserve">” means, at any time of determination and with respect to any Person (other than an English Obligor) and its Subsidiaries, taken as a whole, that (a) the present fair saleable value of the property of such Person and its Subsidiaries is greater than the total amount of liabilities (including contingent liabilities) of such Person and its Subsidiaries, (b) the present fair saleable value of the property of such Person and its Subsidiaries is not less than the amount that will be required to pay the probable aggregate liabilities of such Person and its Subsidiaries on their collective debts as they become absolute and matured, and (c) such Person and its Subsidiaries have not incurred and does not intend to, and does not believe that it will, incur debts or liabilities beyond such Person’s and its Subsidiaries’ ability to pay as such aggregate debts and liabilities mature; and in respect of any English Obligor, “Solvent” means that such Person (i) (A) is able or does not admit inability to pay its debts as they fall due; (B) is not deemed to (and for the purposes of Section 123(2) of the Insolvency Act 1986, excluding any intergroup indebtedness), or is not declared to be, unable to pay its debts under applicable Law; (C) by reason of actual or anticipated financial difficulties, has not suspended or threatened making payments on any of its debts; or (D) by reason of actual or anticipated financial difficulties, has not commenced negotiations with one or more of its creditors (excluding any Noteholders in their capacity as such) with a view to rescheduling any of its indebtedness; (ii) the value of that Person’s assets is not less than its liabilities (taking into account contingent and prospective liabilities and excluding any intergroup indebtedness); and/or (iii) no moratorium has been declared in respect of any of that Person’s indebtedness (and the ending of a moratorium will not remedy any Event of Default so caused by that moratorium). </w:t>
      </w:r>
    </w:p>
    <w:p>
      <w:pPr>
        <w:pStyle w:val="TextBody"/>
        <w:bidi w:val="0"/>
        <w:spacing w:before="240" w:after="0"/>
        <w:jc w:val="left"/>
        <w:rPr/>
      </w:pPr>
      <w:r>
        <w:rPr/>
        <w:t>“</w:t>
      </w:r>
      <w:r>
        <w:rPr>
          <w:rFonts w:ascii="Times New Roman" w:hAnsi="Times New Roman"/>
          <w:b/>
          <w:i/>
          <w:sz w:val="20"/>
        </w:rPr>
        <w:t>Sterling</w:t>
      </w:r>
      <w:r>
        <w:rPr>
          <w:rFonts w:ascii="Times New Roman" w:hAnsi="Times New Roman"/>
          <w:sz w:val="20"/>
        </w:rPr>
        <w:t>” or “</w:t>
      </w:r>
      <w:r>
        <w:rPr>
          <w:rFonts w:ascii="Times New Roman" w:hAnsi="Times New Roman"/>
          <w:b/>
          <w:i/>
          <w:sz w:val="20"/>
        </w:rPr>
        <w:t>£</w:t>
      </w:r>
      <w:r>
        <w:rPr>
          <w:rFonts w:ascii="Times New Roman" w:hAnsi="Times New Roman"/>
          <w:sz w:val="20"/>
        </w:rPr>
        <w:t xml:space="preserve">” means lawful money of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Subsidiary</w:t>
      </w:r>
      <w:r>
        <w:rPr>
          <w:rFonts w:ascii="Times New Roman" w:hAnsi="Times New Roman"/>
          <w:sz w:val="20"/>
        </w:rPr>
        <w:t>” means, with respect to any Person (for purposes of this definition, the “</w:t>
      </w:r>
      <w:r>
        <w:rPr>
          <w:rFonts w:ascii="Times New Roman" w:hAnsi="Times New Roman"/>
          <w:b/>
          <w:i/>
          <w:sz w:val="20"/>
        </w:rPr>
        <w:t>parent</w:t>
      </w:r>
      <w:r>
        <w:rPr>
          <w:rFonts w:ascii="Times New Roman" w:hAnsi="Times New Roman"/>
          <w:sz w:val="20"/>
        </w:rPr>
        <w:t xml:space="preserve">”) at any date, any corporation, limited liability company, exempted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exempted company, partnership, association or other entity (a)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or (b) that is, as of such date, otherwise Controlled, by the parent or one or more direct or indirect subsidiaries of the parent or by the parent and one or more direct or indirect subsidiaries of the parent. Unless otherwise specified, all references herein to a “Subsidiary” or to “Subsidiaries” shall refer to a Subsidiary or Subsidiaries of the Issuer. </w:t>
      </w:r>
    </w:p>
    <w:p>
      <w:pPr>
        <w:pStyle w:val="TextBody"/>
        <w:bidi w:val="0"/>
        <w:spacing w:before="240" w:after="0"/>
        <w:jc w:val="left"/>
        <w:rPr/>
      </w:pPr>
      <w:r>
        <w:rPr/>
        <w:t>“</w:t>
      </w:r>
      <w:r>
        <w:rPr>
          <w:rFonts w:ascii="Times New Roman" w:hAnsi="Times New Roman"/>
          <w:b/>
          <w:i/>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i/>
          <w:sz w:val="20"/>
        </w:rPr>
        <w:t>Technical Information</w:t>
      </w:r>
      <w:r>
        <w:rPr>
          <w:rFonts w:ascii="Times New Roman" w:hAnsi="Times New Roman"/>
          <w:sz w:val="20"/>
        </w:rPr>
        <w:t xml:space="preserve">” means all trade secrets and other proprietary or confidential information, public information, non-proprietary know-how, and any information of a scientific, technical, or business nature in any form or medium, including standards and specifications, conceptions, ideas, innovations, discoveries, Invention disclosures, documented research, developmental, demonstration, or engineering work, experimental data, manuals, models, samples, computer programs, information technology, methodologies, systems, and any other technical or business information. </w:t>
      </w:r>
    </w:p>
    <w:p>
      <w:pPr>
        <w:pStyle w:val="TextBody"/>
        <w:bidi w:val="0"/>
        <w:spacing w:before="240" w:after="0"/>
        <w:jc w:val="left"/>
        <w:rPr/>
      </w:pPr>
      <w:r>
        <w:rPr/>
        <w:t>“</w:t>
      </w:r>
      <w:r>
        <w:rPr>
          <w:rFonts w:ascii="Times New Roman" w:hAnsi="Times New Roman"/>
          <w:b/>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b/>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left"/>
        <w:rPr/>
      </w:pPr>
      <w:r>
        <w:rPr/>
        <w:t>“</w:t>
      </w:r>
      <w:r>
        <w:rPr>
          <w:rFonts w:ascii="Times New Roman" w:hAnsi="Times New Roman"/>
          <w:b/>
          <w:i/>
          <w:sz w:val="20"/>
        </w:rPr>
        <w:t>Title IV Plan</w:t>
      </w:r>
      <w:r>
        <w:rPr>
          <w:rFonts w:ascii="Times New Roman" w:hAnsi="Times New Roman"/>
          <w:sz w:val="20"/>
        </w:rPr>
        <w:t xml:space="preserve">” means an employee benefit plan (as defined in Section 3(3) of ERISA) other than a Multiemployer Plan (a) that is or was at any time maintained or sponsored by any Obligor or any ERISA Affiliate thereof or to which any Obligor or any ERISA Affiliate thereof has ever made, or was obligated to make, contributions, and (b) that is or was subject to Section 412 of the Code, Section 302 of ERISA or Title IV of ERISA. </w:t>
      </w:r>
    </w:p>
    <w:p>
      <w:pPr>
        <w:pStyle w:val="TextBody"/>
        <w:bidi w:val="0"/>
        <w:spacing w:before="240" w:after="0"/>
        <w:jc w:val="left"/>
        <w:rPr/>
      </w:pPr>
      <w:r>
        <w:rPr/>
        <w:t>“</w:t>
      </w:r>
      <w:r>
        <w:rPr>
          <w:rFonts w:ascii="Times New Roman" w:hAnsi="Times New Roman"/>
          <w:b/>
          <w:i/>
          <w:sz w:val="20"/>
        </w:rPr>
        <w:t>Trademarks</w:t>
      </w:r>
      <w:r>
        <w:rPr>
          <w:rFonts w:ascii="Times New Roman" w:hAnsi="Times New Roman"/>
          <w:sz w:val="20"/>
        </w:rPr>
        <w:t xml:space="preserve">” means all trade names, trademarks, and service marks, logos, and trademark and service mark registrations and applications therefor, including (a) all renewals of trademark and service mark registrations, (b) all rights to recover for past, present, and future infringements thereof and all rights to sue therefor, and (c) all rights whatsoever accruing thereunder or pertaining thereto throughout the world, together, with the goodwill of the business connected with the use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Tranche 1 Commitment</w:t>
      </w:r>
      <w:r>
        <w:rPr>
          <w:rFonts w:ascii="Times New Roman" w:hAnsi="Times New Roman"/>
          <w:sz w:val="20"/>
        </w:rPr>
        <w:t>” means the commitment of a Noteholder to purchase or otherwise fund Tranche 1 Notes on the Closing Date and “</w:t>
      </w:r>
      <w:r>
        <w:rPr>
          <w:rFonts w:ascii="Times New Roman" w:hAnsi="Times New Roman"/>
          <w:b/>
          <w:i/>
          <w:sz w:val="20"/>
        </w:rPr>
        <w:t>Tranche 1 Commitments</w:t>
      </w:r>
      <w:r>
        <w:rPr>
          <w:rFonts w:ascii="Times New Roman" w:hAnsi="Times New Roman"/>
          <w:sz w:val="20"/>
        </w:rPr>
        <w:t xml:space="preserve">” means such commitments of all such Noteholders in the aggregate. The amount of each Noteholder’s Tranche 1 Commitment, if any, is set forth opposite such Noteholder’s name on Schedule 1 hereto. </w:t>
      </w:r>
    </w:p>
    <w:p>
      <w:pPr>
        <w:pStyle w:val="TextBody"/>
        <w:bidi w:val="0"/>
        <w:spacing w:before="240" w:after="0"/>
        <w:jc w:val="left"/>
        <w:rPr/>
      </w:pPr>
      <w:r>
        <w:rPr/>
        <w:t>“</w:t>
      </w:r>
      <w:r>
        <w:rPr>
          <w:rFonts w:ascii="Times New Roman" w:hAnsi="Times New Roman"/>
          <w:b/>
          <w:i/>
          <w:sz w:val="20"/>
        </w:rPr>
        <w:t>Tranche 1 Notes</w:t>
      </w:r>
      <w:r>
        <w:rPr>
          <w:rFonts w:ascii="Times New Roman" w:hAnsi="Times New Roman"/>
          <w:sz w:val="20"/>
        </w:rPr>
        <w:t xml:space="preserve">” means the term notes issued by the Issuer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Tranche 2 Commitment</w:t>
      </w:r>
      <w:r>
        <w:rPr>
          <w:rFonts w:ascii="Times New Roman" w:hAnsi="Times New Roman"/>
          <w:sz w:val="20"/>
        </w:rPr>
        <w:t>” means the commitment of a Noteholder to purchase or otherwise fund Tranche 2 Notes on the Tranche 2 Issue Date and “</w:t>
      </w:r>
      <w:r>
        <w:rPr>
          <w:rFonts w:ascii="Times New Roman" w:hAnsi="Times New Roman"/>
          <w:b/>
          <w:i/>
          <w:sz w:val="20"/>
        </w:rPr>
        <w:t>Tranche 2 Commitments</w:t>
      </w:r>
      <w:r>
        <w:rPr>
          <w:rFonts w:ascii="Times New Roman" w:hAnsi="Times New Roman"/>
          <w:sz w:val="20"/>
        </w:rPr>
        <w:t xml:space="preserve">” means such commitments of all such Noteholders in the aggregate. The amount of each Noteholder’s Tranche 2 Commitment, if any, is set forth opposite such Noteholder’s name on Schedule 1 hereto or in the applicable Assignment and Assumption, subject to any adjustment or reduction pursuant to the terms and conditions of this Agreement. </w:t>
      </w:r>
    </w:p>
    <w:p>
      <w:pPr>
        <w:pStyle w:val="TextBody"/>
        <w:bidi w:val="0"/>
        <w:spacing w:before="240" w:after="0"/>
        <w:jc w:val="left"/>
        <w:rPr/>
      </w:pPr>
      <w:r>
        <w:rPr/>
        <w:t>“</w:t>
      </w:r>
      <w:r>
        <w:rPr>
          <w:rFonts w:ascii="Times New Roman" w:hAnsi="Times New Roman"/>
          <w:b/>
          <w:i/>
          <w:sz w:val="20"/>
        </w:rPr>
        <w:t>Tranche 2 Issue Date</w:t>
      </w:r>
      <w:r>
        <w:rPr>
          <w:rFonts w:ascii="Times New Roman" w:hAnsi="Times New Roman"/>
          <w:sz w:val="20"/>
        </w:rPr>
        <w:t xml:space="preserve">” means the date on which Tranche 2 Notes are issued and subscribed for pursuant to the terms and conditions hereof. </w:t>
      </w:r>
    </w:p>
    <w:p>
      <w:pPr>
        <w:pStyle w:val="TextBody"/>
        <w:bidi w:val="0"/>
        <w:spacing w:before="240" w:after="0"/>
        <w:jc w:val="left"/>
        <w:rPr/>
      </w:pPr>
      <w:r>
        <w:rPr/>
        <w:t>“</w:t>
      </w:r>
      <w:r>
        <w:rPr>
          <w:rFonts w:ascii="Times New Roman" w:hAnsi="Times New Roman"/>
          <w:b/>
          <w:i/>
          <w:sz w:val="20"/>
        </w:rPr>
        <w:t>Tranche 2 Maximum Issue Amount</w:t>
      </w:r>
      <w:r>
        <w:rPr>
          <w:rFonts w:ascii="Times New Roman" w:hAnsi="Times New Roman"/>
          <w:sz w:val="20"/>
        </w:rPr>
        <w:t xml:space="preserve">” means $25,000,000. </w:t>
      </w:r>
    </w:p>
    <w:p>
      <w:pPr>
        <w:pStyle w:val="TextBody"/>
        <w:bidi w:val="0"/>
        <w:spacing w:before="240" w:after="0"/>
        <w:jc w:val="left"/>
        <w:rPr/>
      </w:pPr>
      <w:r>
        <w:rPr/>
        <w:t>“</w:t>
      </w:r>
      <w:r>
        <w:rPr>
          <w:rFonts w:ascii="Times New Roman" w:hAnsi="Times New Roman"/>
          <w:b/>
          <w:i/>
          <w:sz w:val="20"/>
        </w:rPr>
        <w:t>Tranche 2 Notes</w:t>
      </w:r>
      <w:r>
        <w:rPr>
          <w:rFonts w:ascii="Times New Roman" w:hAnsi="Times New Roman"/>
          <w:sz w:val="20"/>
        </w:rPr>
        <w:t xml:space="preserve">” means the term notes issued by the Issuer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Tranche 2 Notes Draw Termination Date</w:t>
      </w:r>
      <w:r>
        <w:rPr>
          <w:rFonts w:ascii="Times New Roman" w:hAnsi="Times New Roman"/>
          <w:sz w:val="20"/>
        </w:rPr>
        <w:t xml:space="preserve">” means the earliest to occur of (a) the date the Tranche 2 Commitments are permanently reduced to zero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2.01(b)</w:t>
      </w:r>
      <w:r>
        <w:rPr>
          <w:rFonts w:ascii="Times New Roman" w:hAnsi="Times New Roman"/>
          <w:sz w:val="20"/>
        </w:rPr>
        <w:t xml:space="preserve">, (b) the date the Tranche 2 Commitments are terminated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and (c) January 30, 2027. </w:t>
      </w:r>
    </w:p>
    <w:p>
      <w:pPr>
        <w:pStyle w:val="TextBody"/>
        <w:bidi w:val="0"/>
        <w:spacing w:before="240" w:after="0"/>
        <w:jc w:val="left"/>
        <w:rPr/>
      </w:pPr>
      <w:r>
        <w:rPr/>
        <w:t>“</w:t>
      </w:r>
      <w:r>
        <w:rPr>
          <w:rFonts w:ascii="Times New Roman" w:hAnsi="Times New Roman"/>
          <w:b/>
          <w:i/>
          <w:sz w:val="20"/>
        </w:rPr>
        <w:t>Tranche 3 Commitment</w:t>
      </w:r>
      <w:r>
        <w:rPr>
          <w:rFonts w:ascii="Times New Roman" w:hAnsi="Times New Roman"/>
          <w:sz w:val="20"/>
        </w:rPr>
        <w:t>” means the commitment of a Noteholder to purchase or otherwise fund Tranche 3 Notes on the Tranche 3 Issue Date and “</w:t>
      </w:r>
      <w:r>
        <w:rPr>
          <w:rFonts w:ascii="Times New Roman" w:hAnsi="Times New Roman"/>
          <w:b/>
          <w:i/>
          <w:sz w:val="20"/>
        </w:rPr>
        <w:t>Tranche 3 Commitments</w:t>
      </w:r>
      <w:r>
        <w:rPr>
          <w:rFonts w:ascii="Times New Roman" w:hAnsi="Times New Roman"/>
          <w:sz w:val="20"/>
        </w:rPr>
        <w:t xml:space="preserve">” means such commitments of all such Noteholders in the aggregate. The amount of each Noteholder’s Tranche 3 Commitment, if any, is set forth opposite such Noteholder’s name on Schedule 1 hereto or in the applicable Assignment and Assumption, subject to any adjustment or reduction pursuant to the terms and conditions of this Agreement. </w:t>
      </w:r>
    </w:p>
    <w:p>
      <w:pPr>
        <w:pStyle w:val="TextBody"/>
        <w:bidi w:val="0"/>
        <w:spacing w:before="240" w:after="0"/>
        <w:jc w:val="left"/>
        <w:rPr/>
      </w:pPr>
      <w:r>
        <w:rPr/>
        <w:t>“</w:t>
      </w:r>
      <w:r>
        <w:rPr>
          <w:rFonts w:ascii="Times New Roman" w:hAnsi="Times New Roman"/>
          <w:b/>
          <w:i/>
          <w:sz w:val="20"/>
        </w:rPr>
        <w:t>Tranche 3 Issue Date</w:t>
      </w:r>
      <w:r>
        <w:rPr>
          <w:rFonts w:ascii="Times New Roman" w:hAnsi="Times New Roman"/>
          <w:sz w:val="20"/>
        </w:rPr>
        <w:t xml:space="preserve">” means the date on which Tranche 3 Notes are issued and subscribed for pursuant to the terms and conditions hereof. </w:t>
      </w:r>
    </w:p>
    <w:p>
      <w:pPr>
        <w:pStyle w:val="TextBody"/>
        <w:bidi w:val="0"/>
        <w:spacing w:before="240" w:after="0"/>
        <w:jc w:val="left"/>
        <w:rPr/>
      </w:pPr>
      <w:r>
        <w:rPr/>
        <w:t>“</w:t>
      </w:r>
      <w:r>
        <w:rPr>
          <w:rFonts w:ascii="Times New Roman" w:hAnsi="Times New Roman"/>
          <w:b/>
          <w:i/>
          <w:sz w:val="20"/>
        </w:rPr>
        <w:t>Tranche 3 Maximum Issue Amount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b/>
          <w:i/>
          <w:sz w:val="20"/>
        </w:rPr>
        <w:t>Tranche 3 Note Condition Certificate</w:t>
      </w:r>
      <w:r>
        <w:rPr>
          <w:rFonts w:ascii="Times New Roman" w:hAnsi="Times New Roman"/>
          <w:sz w:val="20"/>
        </w:rPr>
        <w:t xml:space="preserve">” means a certificate signed by a Responsible Officer of the Issuer certifying that the conditions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6.02(d)</w:t>
      </w:r>
      <w:r>
        <w:rPr>
          <w:rFonts w:ascii="Times New Roman" w:hAnsi="Times New Roman"/>
          <w:sz w:val="20"/>
        </w:rPr>
        <w:t xml:space="preserve"> have been met and attaching evidence reasonably satisfactory to the Administrative Agent. </w:t>
      </w:r>
    </w:p>
    <w:p>
      <w:pPr>
        <w:pStyle w:val="TextBody"/>
        <w:bidi w:val="0"/>
        <w:spacing w:before="240" w:after="0"/>
        <w:jc w:val="left"/>
        <w:rPr/>
      </w:pPr>
      <w:r>
        <w:rPr/>
        <w:t>“</w:t>
      </w:r>
      <w:r>
        <w:rPr>
          <w:rFonts w:ascii="Times New Roman" w:hAnsi="Times New Roman"/>
          <w:b/>
          <w:i/>
          <w:sz w:val="20"/>
        </w:rPr>
        <w:t>Tranche 3 Notes</w:t>
      </w:r>
      <w:r>
        <w:rPr>
          <w:rFonts w:ascii="Times New Roman" w:hAnsi="Times New Roman"/>
          <w:sz w:val="20"/>
        </w:rPr>
        <w:t xml:space="preserve">” means the term notes issued by the Issuer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Tranche 3 Notes Draw Termination Date</w:t>
      </w:r>
      <w:r>
        <w:rPr>
          <w:rFonts w:ascii="Times New Roman" w:hAnsi="Times New Roman"/>
          <w:sz w:val="20"/>
        </w:rPr>
        <w:t xml:space="preserve">” means the earliest to occur of (a) the date the Tranche 3 Commitments are permanently reduced to zero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2.01(c)</w:t>
      </w:r>
      <w:r>
        <w:rPr>
          <w:rFonts w:ascii="Times New Roman" w:hAnsi="Times New Roman"/>
          <w:sz w:val="20"/>
        </w:rPr>
        <w:t xml:space="preserve">, (b) the date the Tranche 3 Commitments are terminated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and (c) July 31, 2028. </w:t>
      </w:r>
    </w:p>
    <w:p>
      <w:pPr>
        <w:pStyle w:val="TextBody"/>
        <w:bidi w:val="0"/>
        <w:spacing w:before="240" w:after="0"/>
        <w:jc w:val="left"/>
        <w:rPr/>
      </w:pPr>
      <w:r>
        <w:rPr/>
        <w:t>“</w:t>
      </w:r>
      <w:r>
        <w:rPr>
          <w:rFonts w:ascii="Times New Roman" w:hAnsi="Times New Roman"/>
          <w:b/>
          <w:i/>
          <w:sz w:val="20"/>
        </w:rPr>
        <w:t>Tranche 4 Commitment</w:t>
      </w:r>
      <w:r>
        <w:rPr>
          <w:rFonts w:ascii="Times New Roman" w:hAnsi="Times New Roman"/>
          <w:sz w:val="20"/>
        </w:rPr>
        <w:t>” means the commitment of a Noteholder to purchase or otherwise fund Tranche 4 Notes on the Tranche 4 Issue Date and “</w:t>
      </w:r>
      <w:r>
        <w:rPr>
          <w:rFonts w:ascii="Times New Roman" w:hAnsi="Times New Roman"/>
          <w:b/>
          <w:i/>
          <w:sz w:val="20"/>
        </w:rPr>
        <w:t>Tranche 4 Commitments</w:t>
      </w:r>
      <w:r>
        <w:rPr>
          <w:rFonts w:ascii="Times New Roman" w:hAnsi="Times New Roman"/>
          <w:sz w:val="20"/>
        </w:rPr>
        <w:t xml:space="preserve">” means such commitments of all such Noteholders in the aggregate. The amount of each Noteholder’s Tranche 4 Commitment, if any, is set forth opposite such Noteholder’s name on Schedule 1 hereto or in the applicable Assignment and Assumption, subject to any adjustment or reduction pursuant to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Tranche 4 Issue Date</w:t>
      </w:r>
      <w:r>
        <w:rPr>
          <w:rFonts w:ascii="Times New Roman" w:hAnsi="Times New Roman"/>
          <w:sz w:val="20"/>
        </w:rPr>
        <w:t xml:space="preserve">” means the date on which Tranche 4 Notes are issued and subscribed for pursuant to the terms and conditions hereof. </w:t>
      </w:r>
    </w:p>
    <w:p>
      <w:pPr>
        <w:pStyle w:val="TextBody"/>
        <w:bidi w:val="0"/>
        <w:spacing w:before="240" w:after="0"/>
        <w:jc w:val="left"/>
        <w:rPr/>
      </w:pPr>
      <w:r>
        <w:rPr/>
        <w:t>“</w:t>
      </w:r>
      <w:r>
        <w:rPr>
          <w:rFonts w:ascii="Times New Roman" w:hAnsi="Times New Roman"/>
          <w:b/>
          <w:i/>
          <w:sz w:val="20"/>
        </w:rPr>
        <w:t>Tranche 4 Maximum Issue Amount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b/>
          <w:i/>
          <w:sz w:val="20"/>
        </w:rPr>
        <w:t>Tranche 4 Note Condition Certificate</w:t>
      </w:r>
      <w:r>
        <w:rPr>
          <w:rFonts w:ascii="Times New Roman" w:hAnsi="Times New Roman"/>
          <w:sz w:val="20"/>
        </w:rPr>
        <w:t xml:space="preserve">” means a certificate signed by a Responsible Officer of the Issuer certifying that the conditions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6.02(d)</w:t>
      </w:r>
      <w:r>
        <w:rPr>
          <w:rFonts w:ascii="Times New Roman" w:hAnsi="Times New Roman"/>
          <w:sz w:val="20"/>
        </w:rPr>
        <w:t xml:space="preserve"> have been met and attaching evidence reasonably satisfactory to the Administrative Agent. </w:t>
      </w:r>
    </w:p>
    <w:p>
      <w:pPr>
        <w:pStyle w:val="TextBody"/>
        <w:bidi w:val="0"/>
        <w:spacing w:before="240" w:after="0"/>
        <w:jc w:val="left"/>
        <w:rPr/>
      </w:pPr>
      <w:r>
        <w:rPr/>
        <w:t>“</w:t>
      </w:r>
      <w:r>
        <w:rPr>
          <w:rFonts w:ascii="Times New Roman" w:hAnsi="Times New Roman"/>
          <w:b/>
          <w:i/>
          <w:sz w:val="20"/>
        </w:rPr>
        <w:t>Tranche 4 Notes</w:t>
      </w:r>
      <w:r>
        <w:rPr>
          <w:rFonts w:ascii="Times New Roman" w:hAnsi="Times New Roman"/>
          <w:sz w:val="20"/>
        </w:rPr>
        <w:t xml:space="preserve">” means the term notes issued by the Issuer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Tranche 4 Notes Draw Termination Date</w:t>
      </w:r>
      <w:r>
        <w:rPr>
          <w:rFonts w:ascii="Times New Roman" w:hAnsi="Times New Roman"/>
          <w:sz w:val="20"/>
        </w:rPr>
        <w:t xml:space="preserve">” means the earliest to occur of (a) the date the Tranche 4 Commitments are permanently reduced to zero pursuant to </w:t>
      </w:r>
      <w:r>
        <w:rPr>
          <w:rFonts w:ascii="Times New Roman" w:hAnsi="Times New Roman"/>
          <w:b/>
          <w:sz w:val="20"/>
        </w:rPr>
        <w:t>Section</w:t>
      </w:r>
      <w:r>
        <w:rPr>
          <w:rFonts w:ascii="Times New Roman" w:hAnsi="Times New Roman"/>
          <w:sz w:val="20"/>
        </w:rPr>
        <w:t> </w:t>
      </w:r>
      <w:r>
        <w:rPr>
          <w:rFonts w:ascii="Times New Roman" w:hAnsi="Times New Roman"/>
          <w:b/>
          <w:sz w:val="20"/>
        </w:rPr>
        <w:t>2.01(d)</w:t>
      </w:r>
      <w:r>
        <w:rPr>
          <w:rFonts w:ascii="Times New Roman" w:hAnsi="Times New Roman"/>
          <w:sz w:val="20"/>
        </w:rPr>
        <w:t xml:space="preserve">, (b) the date the Tranche 4 Commitments are terminated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and (c) January 31, 2030. </w:t>
      </w:r>
    </w:p>
    <w:p>
      <w:pPr>
        <w:pStyle w:val="TextBody"/>
        <w:bidi w:val="0"/>
        <w:spacing w:before="240" w:after="0"/>
        <w:jc w:val="left"/>
        <w:rPr/>
      </w:pPr>
      <w:r>
        <w:rPr/>
        <w:t>“</w:t>
      </w:r>
      <w:r>
        <w:rPr>
          <w:rFonts w:ascii="Times New Roman" w:hAnsi="Times New Roman"/>
          <w:b/>
          <w:i/>
          <w:sz w:val="20"/>
        </w:rPr>
        <w:t>Transactions</w:t>
      </w:r>
      <w:r>
        <w:rPr>
          <w:rFonts w:ascii="Times New Roman" w:hAnsi="Times New Roman"/>
          <w:sz w:val="20"/>
        </w:rPr>
        <w:t xml:space="preserve">” means the negotiation, preparation, execution, delivery and performance by each Obligor of this Agreement and the other Notes Documents to which such Obligor is (or is intended to be) a party, the issuance and sale of the Notes hereunder, and all other transactions contemplated pursuant to this Agreement and the other Notes Documents. </w:t>
      </w:r>
    </w:p>
    <w:p>
      <w:pPr>
        <w:pStyle w:val="TextBody"/>
        <w:bidi w:val="0"/>
        <w:spacing w:before="240" w:after="0"/>
        <w:jc w:val="left"/>
        <w:rPr/>
      </w:pPr>
      <w:r>
        <w:rPr/>
        <w:t>“</w:t>
      </w:r>
      <w:r>
        <w:rPr>
          <w:rFonts w:ascii="Times New Roman" w:hAnsi="Times New Roman"/>
          <w:b/>
          <w:i/>
          <w:sz w:val="20"/>
        </w:rPr>
        <w:t>UCC</w:t>
      </w:r>
      <w:r>
        <w:rPr>
          <w:rFonts w:ascii="Times New Roman" w:hAnsi="Times New Roman"/>
          <w:sz w:val="20"/>
        </w:rPr>
        <w:t xml:space="preserve">” means, with respect to any applicable jurisdictions, the Uniform Commercial Code as in effect in such jurisdiction, as may be modified from time to time. </w:t>
      </w:r>
    </w:p>
    <w:p>
      <w:pPr>
        <w:pStyle w:val="TextBody"/>
        <w:bidi w:val="0"/>
        <w:spacing w:before="240" w:after="0"/>
        <w:jc w:val="left"/>
        <w:rPr/>
      </w:pPr>
      <w:r>
        <w:rPr/>
        <w:t>“</w:t>
      </w:r>
      <w:r>
        <w:rPr>
          <w:rFonts w:ascii="Times New Roman" w:hAnsi="Times New Roman"/>
          <w:b/>
          <w:i/>
          <w:sz w:val="20"/>
        </w:rPr>
        <w:t>UCLB License Agreement</w:t>
      </w:r>
      <w:r>
        <w:rPr>
          <w:rFonts w:ascii="Times New Roman" w:hAnsi="Times New Roman"/>
          <w:sz w:val="20"/>
        </w:rPr>
        <w:t xml:space="preserve">” means that certain Amended and Restated License Agreement, dated as of October 15, 2020, by and between Autolus Limited and UCL Business LTD as in effect on the date hereof and as amended, amended and restated, supplemented and otherwise modified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i/>
          <w:sz w:val="20"/>
        </w:rPr>
        <w:t>UK IPO</w:t>
      </w:r>
      <w:r>
        <w:rPr>
          <w:rFonts w:ascii="Times New Roman" w:hAnsi="Times New Roman"/>
          <w:sz w:val="20"/>
        </w:rPr>
        <w:t xml:space="preserve">” has the meaning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UK ITA</w:t>
      </w:r>
      <w:r>
        <w:rPr>
          <w:rFonts w:ascii="Times New Roman" w:hAnsi="Times New Roman"/>
          <w:sz w:val="20"/>
        </w:rPr>
        <w:t xml:space="preserve">” means the Income Tax Act 2007 of the United Kingdom (as amended). </w:t>
      </w:r>
    </w:p>
    <w:p>
      <w:pPr>
        <w:pStyle w:val="TextBody"/>
        <w:bidi w:val="0"/>
        <w:spacing w:before="240" w:after="0"/>
        <w:jc w:val="left"/>
        <w:rPr/>
      </w:pPr>
      <w:r>
        <w:rPr/>
        <w:t>“</w:t>
      </w:r>
      <w:r>
        <w:rPr>
          <w:rFonts w:ascii="Times New Roman" w:hAnsi="Times New Roman"/>
          <w:b/>
          <w:i/>
          <w:sz w:val="20"/>
        </w:rPr>
        <w:t>UK Limitation Acts</w:t>
      </w:r>
      <w:r>
        <w:rPr>
          <w:rFonts w:ascii="Times New Roman" w:hAnsi="Times New Roman"/>
          <w:sz w:val="20"/>
        </w:rPr>
        <w:t xml:space="preserve">” means the Limitation Act 1980 and the Foreign Limitation Periods Act 1984. </w:t>
      </w:r>
    </w:p>
    <w:p>
      <w:pPr>
        <w:pStyle w:val="TextBody"/>
        <w:bidi w:val="0"/>
        <w:spacing w:before="240" w:after="0"/>
        <w:jc w:val="left"/>
        <w:rPr/>
      </w:pPr>
      <w:r>
        <w:rPr/>
        <w:t>“</w:t>
      </w:r>
      <w:r>
        <w:rPr>
          <w:rFonts w:ascii="Times New Roman" w:hAnsi="Times New Roman"/>
          <w:b/>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United Kingdom</w:t>
      </w:r>
      <w:r>
        <w:rPr>
          <w:rFonts w:ascii="Times New Roman" w:hAnsi="Times New Roman"/>
          <w:sz w:val="20"/>
        </w:rPr>
        <w:t>” and “</w:t>
      </w:r>
      <w:r>
        <w:rPr>
          <w:rFonts w:ascii="Times New Roman" w:hAnsi="Times New Roman"/>
          <w:b/>
          <w:i/>
          <w:sz w:val="20"/>
        </w:rPr>
        <w:t>UK</w:t>
      </w:r>
      <w:r>
        <w:rPr>
          <w:rFonts w:ascii="Times New Roman" w:hAnsi="Times New Roman"/>
          <w:sz w:val="20"/>
        </w:rPr>
        <w:t xml:space="preserve">” each means the United Kingdom of Great Britain and Northern Ireland. </w:t>
      </w:r>
    </w:p>
    <w:p>
      <w:pPr>
        <w:pStyle w:val="TextBody"/>
        <w:bidi w:val="0"/>
        <w:spacing w:before="240" w:after="0"/>
        <w:jc w:val="left"/>
        <w:rPr/>
      </w:pPr>
      <w:r>
        <w:rPr/>
        <w:t>“</w:t>
      </w:r>
      <w:r>
        <w:rPr>
          <w:rFonts w:ascii="Times New Roman" w:hAnsi="Times New Roman"/>
          <w:b/>
          <w:i/>
          <w:sz w:val="20"/>
        </w:rPr>
        <w:t>United States</w:t>
      </w:r>
      <w:r>
        <w:rPr>
          <w:rFonts w:ascii="Times New Roman" w:hAnsi="Times New Roman"/>
          <w:sz w:val="20"/>
        </w:rPr>
        <w:t>” or “</w:t>
      </w:r>
      <w:r>
        <w:rPr>
          <w:rFonts w:ascii="Times New Roman" w:hAnsi="Times New Roman"/>
          <w:b/>
          <w:i/>
          <w:sz w:val="20"/>
        </w:rPr>
        <w:t>U.S.</w:t>
      </w:r>
      <w:r>
        <w:rPr>
          <w:rFonts w:ascii="Times New Roman" w:hAnsi="Times New Roman"/>
          <w:sz w:val="20"/>
        </w:rPr>
        <w:t xml:space="preserve">” means the United States of America, its fifty (50) states and the District of Columbia. </w:t>
      </w:r>
    </w:p>
    <w:p>
      <w:pPr>
        <w:pStyle w:val="TextBody"/>
        <w:bidi w:val="0"/>
        <w:spacing w:before="240" w:after="0"/>
        <w:jc w:val="left"/>
        <w:rPr/>
      </w:pPr>
      <w:r>
        <w:rPr/>
        <w:t>“</w:t>
      </w:r>
      <w:r>
        <w:rPr>
          <w:rFonts w:ascii="Times New Roman" w:hAnsi="Times New Roman"/>
          <w:b/>
          <w:i/>
          <w:sz w:val="20"/>
        </w:rPr>
        <w:t>U.S.</w:t>
      </w:r>
      <w:r>
        <w:rPr>
          <w:rFonts w:ascii="Times New Roman" w:hAnsi="Times New Roman"/>
          <w:sz w:val="20"/>
        </w:rPr>
        <w:t> </w:t>
      </w:r>
      <w:r>
        <w:rPr>
          <w:rFonts w:ascii="Times New Roman" w:hAnsi="Times New Roman"/>
          <w:b/>
          <w:i/>
          <w:sz w:val="20"/>
        </w:rPr>
        <w:t>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i/>
          <w:sz w:val="20"/>
        </w:rPr>
        <w:t>VAT</w:t>
      </w:r>
      <w:r>
        <w:rPr>
          <w:rFonts w:ascii="Times New Roman" w:hAnsi="Times New Roman"/>
          <w:sz w:val="20"/>
        </w:rPr>
        <w:t xml:space="preserve">” means: (a) any value added tax imposed by the UK Value Added Tax Act 1994 (as amended); (b) any tax imposed in compliance with the Council Directive of 28 November 2006 on the common system of value added tax (EC Directive 2006/112); and (c) any other tax of a similar nature, whether imposed in the UK or in a member state of the European Union in substitution for, or levied in addition to, such tax referred to in </w:t>
      </w:r>
      <w:r>
        <w:rPr>
          <w:rFonts w:ascii="Times New Roman" w:hAnsi="Times New Roman"/>
          <w:b/>
          <w:sz w:val="20"/>
        </w:rPr>
        <w:t>paragraph (a)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or imposed elsewhere. </w:t>
      </w:r>
    </w:p>
    <w:p>
      <w:pPr>
        <w:pStyle w:val="TextBody"/>
        <w:bidi w:val="0"/>
        <w:spacing w:before="240" w:after="0"/>
        <w:jc w:val="left"/>
        <w:rPr/>
      </w:pPr>
      <w:r>
        <w:rPr/>
        <w:t>“</w:t>
      </w:r>
      <w:r>
        <w:rPr>
          <w:rFonts w:ascii="Times New Roman" w:hAnsi="Times New Roman"/>
          <w:b/>
          <w:i/>
          <w:sz w:val="20"/>
        </w:rPr>
        <w:t>Wall Street Journal Prime Rate</w:t>
      </w:r>
      <w:r>
        <w:rPr>
          <w:rFonts w:ascii="Times New Roman" w:hAnsi="Times New Roman"/>
          <w:sz w:val="20"/>
        </w:rPr>
        <w:t xml:space="preserve">” means the Wall Street Journal Prime Rate, as published and defined in The Wall Street Journal. </w:t>
      </w:r>
    </w:p>
    <w:p>
      <w:pPr>
        <w:pStyle w:val="TextBody"/>
        <w:bidi w:val="0"/>
        <w:spacing w:before="240" w:after="0"/>
        <w:jc w:val="left"/>
        <w:rPr/>
      </w:pPr>
      <w:r>
        <w:rPr/>
        <w:t>“</w:t>
      </w:r>
      <w:r>
        <w:rPr>
          <w:rFonts w:ascii="Times New Roman" w:hAnsi="Times New Roman"/>
          <w:b/>
          <w:i/>
          <w:sz w:val="20"/>
        </w:rPr>
        <w:t>Warrant Certificate</w:t>
      </w:r>
      <w:r>
        <w:rPr>
          <w:rFonts w:ascii="Times New Roman" w:hAnsi="Times New Roman"/>
          <w:sz w:val="20"/>
        </w:rPr>
        <w:t xml:space="preserve">” means a Warrant Certificate in substantially the form of </w:t>
      </w:r>
      <w:r>
        <w:rPr>
          <w:rFonts w:ascii="Times New Roman" w:hAnsi="Times New Roman"/>
          <w:b/>
          <w:sz w:val="20"/>
        </w:rPr>
        <w:t xml:space="preserve">Exhibit I </w:t>
      </w:r>
      <w:r>
        <w:rPr>
          <w:rFonts w:ascii="Times New Roman" w:hAnsi="Times New Roman"/>
          <w:sz w:val="20"/>
        </w:rPr>
        <w:t xml:space="preserve">hereto, as amended or otherwise modified pursuant to the terms hereof or thereof. </w:t>
      </w:r>
    </w:p>
    <w:p>
      <w:pPr>
        <w:pStyle w:val="TextBody"/>
        <w:bidi w:val="0"/>
        <w:spacing w:before="240" w:after="0"/>
        <w:jc w:val="left"/>
        <w:rPr/>
      </w:pPr>
      <w:r>
        <w:rPr/>
        <w:t>“</w:t>
      </w:r>
      <w:r>
        <w:rPr>
          <w:rFonts w:ascii="Times New Roman" w:hAnsi="Times New Roman"/>
          <w:b/>
          <w:i/>
          <w:sz w:val="20"/>
        </w:rPr>
        <w:t>Warrant Obligations</w:t>
      </w:r>
      <w:r>
        <w:rPr>
          <w:rFonts w:ascii="Times New Roman" w:hAnsi="Times New Roman"/>
          <w:sz w:val="20"/>
        </w:rPr>
        <w:t xml:space="preserve">” means all Obligations of the Issuer arising out of, under or in connection with the Warrant Certificates. </w:t>
      </w:r>
    </w:p>
    <w:p>
      <w:pPr>
        <w:pStyle w:val="TextBody"/>
        <w:bidi w:val="0"/>
        <w:spacing w:before="240" w:after="0"/>
        <w:jc w:val="left"/>
        <w:rPr/>
      </w:pPr>
      <w:r>
        <w:rPr/>
        <w:t>“</w:t>
      </w:r>
      <w:r>
        <w:rPr>
          <w:rFonts w:ascii="Times New Roman" w:hAnsi="Times New Roman"/>
          <w:b/>
          <w:i/>
          <w:sz w:val="20"/>
        </w:rPr>
        <w:t>Withdrawal Liability</w:t>
      </w:r>
      <w:r>
        <w:rPr>
          <w:rFonts w:ascii="Times New Roman" w:hAnsi="Times New Roman"/>
          <w:sz w:val="20"/>
        </w:rPr>
        <w:t xml:space="preserve">” means, at any time, any liability incurred (whether or not assessed) by any ERISA Affiliate and not yet satisfied or paid in full at such time with respect to any Multiemployer Plan pursuant to Section 4201 of ERISA. </w:t>
      </w:r>
    </w:p>
    <w:p>
      <w:pPr>
        <w:pStyle w:val="TextBody"/>
        <w:bidi w:val="0"/>
        <w:spacing w:before="240" w:after="0"/>
        <w:jc w:val="left"/>
        <w:rPr/>
      </w:pPr>
      <w:r>
        <w:rPr/>
        <w:t>“</w:t>
      </w:r>
      <w:r>
        <w:rPr>
          <w:rFonts w:ascii="Times New Roman" w:hAnsi="Times New Roman"/>
          <w:b/>
          <w:i/>
          <w:sz w:val="20"/>
        </w:rPr>
        <w:t>Withholding Agent</w:t>
      </w:r>
      <w:r>
        <w:rPr>
          <w:rFonts w:ascii="Times New Roman" w:hAnsi="Times New Roman"/>
          <w:sz w:val="20"/>
        </w:rPr>
        <w:t xml:space="preserve">” means the Issuer, any other Obligor and the Administrative Agent. </w:t>
      </w:r>
    </w:p>
    <w:p>
      <w:pPr>
        <w:pStyle w:val="TextBody"/>
        <w:bidi w:val="0"/>
        <w:spacing w:before="240" w:after="0"/>
        <w:jc w:val="left"/>
        <w:rPr/>
      </w:pPr>
      <w:r>
        <w:rPr/>
        <w:t>“</w:t>
      </w:r>
      <w:r>
        <w:rPr>
          <w:rFonts w:ascii="Times New Roman" w:hAnsi="Times New Roman"/>
          <w:b/>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rPr>
        <w:t>Accounting Terms and Principles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otherwise specified, all accounting terms used in each Notes Document shall be interpreted, and all accounting determinations and computations thereunder (including under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and any definitions used in such calculations) shall be made, in accordance with GAAP. Unless otherwise expressly provided, all financial covenants and defined financial terms shall be computed on a consolidated basis for the Issuer and its Subsidiaries, in each case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(b) If at any time any change in GAAP or the application thereof would affect the computation of any financial term, covenant, ratio or requirement set forth in any Notes Document, and either the Issuer or the Administrative Agent shall so request, the Administrative Agent and the Issuer shall negotiate in good faith to amend such term, covenant, ratio or requirement to preserve the original intent thereof set forth in the applicable Notes Document in light of such change in GAAP or application thereof; </w:t>
      </w:r>
      <w:r>
        <w:rPr>
          <w:rFonts w:ascii="Times New Roman" w:hAnsi="Times New Roman"/>
          <w:sz w:val="20"/>
          <w:u w:val="single"/>
        </w:rPr>
        <w:t>provided</w:t>
      </w:r>
      <w:r>
        <w:rPr>
          <w:rFonts w:ascii="Times New Roman" w:hAnsi="Times New Roman"/>
          <w:sz w:val="20"/>
        </w:rPr>
        <w:t xml:space="preserve"> that, until so amended, such term, covenant, ratio or requirement shall continue to be computed in accordance with GAAP prior to such change therein for all purposes hereof. </w:t>
      </w:r>
    </w:p>
    <w:p>
      <w:pPr>
        <w:pStyle w:val="TextBody"/>
        <w:bidi w:val="0"/>
        <w:spacing w:before="12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rPr>
        <w:t>Interpretation</w:t>
      </w:r>
      <w:r>
        <w:rPr>
          <w:rFonts w:ascii="Times New Roman" w:hAnsi="Times New Roman"/>
          <w:sz w:val="20"/>
        </w:rPr>
        <w:t xml:space="preserve">. For all purposes of this Agreement, except as otherwise expressly provided herein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Agreement include the plural as well as the singular and vice versa; </w:t>
      </w:r>
    </w:p>
    <w:p>
      <w:pPr>
        <w:pStyle w:val="TextBody"/>
        <w:bidi w:val="0"/>
        <w:spacing w:before="120" w:after="0"/>
        <w:jc w:val="left"/>
        <w:rPr>
          <w:rFonts w:ascii="Times New Roman" w:hAnsi="Times New Roman"/>
          <w:sz w:val="20"/>
        </w:rPr>
      </w:pPr>
      <w:r>
        <w:rPr>
          <w:rFonts w:ascii="Times New Roman" w:hAnsi="Times New Roman"/>
          <w:sz w:val="20"/>
        </w:rPr>
        <w:t xml:space="preserve">(b) words importing gender include all genders; </w:t>
      </w:r>
    </w:p>
    <w:p>
      <w:pPr>
        <w:pStyle w:val="TextBody"/>
        <w:bidi w:val="0"/>
        <w:spacing w:before="120" w:after="0"/>
        <w:jc w:val="left"/>
        <w:rPr>
          <w:rFonts w:ascii="Times New Roman" w:hAnsi="Times New Roman"/>
          <w:sz w:val="20"/>
        </w:rPr>
      </w:pPr>
      <w:r>
        <w:rPr>
          <w:rFonts w:ascii="Times New Roman" w:hAnsi="Times New Roman"/>
          <w:sz w:val="20"/>
        </w:rPr>
        <w:t xml:space="preserve">(c) any reference to a Section, Annex, Schedule or Exhibit refers to a Section of, or Annex, Schedule or Exhibit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 </w:t>
      </w:r>
      <w:r>
        <w:rPr>
          <w:rFonts w:ascii="Times New Roman" w:hAnsi="Times New Roman"/>
          <w:sz w:val="20"/>
          <w:u w:val="single"/>
        </w:rPr>
        <w:t>provided</w:t>
      </w:r>
      <w:r>
        <w:rPr>
          <w:rFonts w:ascii="Times New Roman" w:hAnsi="Times New Roman"/>
          <w:sz w:val="20"/>
        </w:rPr>
        <w:t xml:space="preserve">, that the Issuer or any of its Subsidiaries may from time to time update Schedules 7.05(b), 7.08, 7.12(a) and (b), 7.16 and 7.23 after the Closing Date without retroactive effect (including, without limitation, by delivery of information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8.02(j)</w:t>
      </w:r>
      <w:r>
        <w:rPr>
          <w:rFonts w:ascii="Times New Roman" w:hAnsi="Times New Roman"/>
          <w:sz w:val="20"/>
        </w:rPr>
        <w:t xml:space="preserve"> or </w:t>
      </w:r>
      <w:r>
        <w:rPr>
          <w:rFonts w:ascii="Times New Roman" w:hAnsi="Times New Roman"/>
          <w:b/>
          <w:sz w:val="20"/>
        </w:rPr>
        <w:t>8.02(k)</w:t>
      </w:r>
      <w:r>
        <w:rPr>
          <w:rFonts w:ascii="Times New Roman" w:hAnsi="Times New Roman"/>
          <w:sz w:val="20"/>
        </w:rPr>
        <w:t xml:space="preserve">) and after such time reference to a Schedule shall be deemed to refer to such updated Schedule; </w:t>
      </w:r>
    </w:p>
    <w:p>
      <w:pPr>
        <w:pStyle w:val="TextBody"/>
        <w:bidi w:val="0"/>
        <w:spacing w:before="120" w:after="0"/>
        <w:jc w:val="left"/>
        <w:rPr>
          <w:rFonts w:ascii="Times New Roman" w:hAnsi="Times New Roman"/>
          <w:sz w:val="20"/>
        </w:rPr>
      </w:pPr>
      <w:r>
        <w:rPr>
          <w:rFonts w:ascii="Times New Roman" w:hAnsi="Times New Roman"/>
          <w:sz w:val="20"/>
        </w:rPr>
        <w:t xml:space="preserve">(e) references to days, months and years refer to calendar days, months and years, respectively; </w:t>
      </w:r>
    </w:p>
    <w:p>
      <w:pPr>
        <w:pStyle w:val="TextBody"/>
        <w:bidi w:val="0"/>
        <w:spacing w:before="120" w:after="0"/>
        <w:jc w:val="left"/>
        <w:rPr>
          <w:rFonts w:ascii="Times New Roman" w:hAnsi="Times New Roman"/>
          <w:sz w:val="20"/>
        </w:rPr>
      </w:pPr>
      <w:r>
        <w:rPr>
          <w:rFonts w:ascii="Times New Roman" w:hAnsi="Times New Roman"/>
          <w:sz w:val="20"/>
        </w:rPr>
        <w:t xml:space="preserve">(f) all references herein to “include” or “including”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(g) the word “from” when used in connection with a period of time means “from and including” and the word “until” means “to but not including”; </w:t>
      </w:r>
    </w:p>
    <w:p>
      <w:pPr>
        <w:pStyle w:val="TextBody"/>
        <w:bidi w:val="0"/>
        <w:spacing w:before="120" w:after="0"/>
        <w:jc w:val="left"/>
        <w:rPr>
          <w:rFonts w:ascii="Times New Roman" w:hAnsi="Times New Roman"/>
          <w:sz w:val="20"/>
        </w:rPr>
      </w:pPr>
      <w:r>
        <w:rPr>
          <w:rFonts w:ascii="Times New Roman" w:hAnsi="Times New Roman"/>
          <w:sz w:val="20"/>
        </w:rPr>
        <w:t xml:space="preserve">(h) 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accounting terms not specifically defined herein (other than “property” and “asset”) shall be construed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(j) the word “will” shall have the same meaning as the word “shall”; </w:t>
      </w:r>
    </w:p>
    <w:p>
      <w:pPr>
        <w:pStyle w:val="TextBody"/>
        <w:bidi w:val="0"/>
        <w:spacing w:before="120" w:after="0"/>
        <w:jc w:val="left"/>
        <w:rPr>
          <w:rFonts w:ascii="Times New Roman" w:hAnsi="Times New Roman"/>
          <w:sz w:val="20"/>
        </w:rPr>
      </w:pPr>
      <w:r>
        <w:rPr>
          <w:rFonts w:ascii="Times New Roman" w:hAnsi="Times New Roman"/>
          <w:sz w:val="20"/>
        </w:rPr>
        <w:t xml:space="preserve">(k) where any provision in this Agreement or any other Notes Document refers to an action to be taken by any Person, or an action which such Person is prohibited from taking, such provision shall be applicable whether such action is taken directly or indirectly; </w:t>
      </w:r>
    </w:p>
    <w:p>
      <w:pPr>
        <w:pStyle w:val="TextBody"/>
        <w:bidi w:val="0"/>
        <w:spacing w:before="120" w:after="0"/>
        <w:jc w:val="left"/>
        <w:rPr>
          <w:rFonts w:ascii="Times New Roman" w:hAnsi="Times New Roman"/>
          <w:sz w:val="20"/>
        </w:rPr>
      </w:pPr>
      <w:r>
        <w:rPr>
          <w:rFonts w:ascii="Times New Roman" w:hAnsi="Times New Roman"/>
          <w:sz w:val="20"/>
        </w:rPr>
        <w:t xml:space="preserve">(l) references to any Lien granted or created hereunder or pursuant to any other Notes Document securing any Obligations shall be deemed to be a Lien for the benefit of the Secured Parties; and </w:t>
      </w:r>
    </w:p>
    <w:p>
      <w:pPr>
        <w:pStyle w:val="TextBody"/>
        <w:bidi w:val="0"/>
        <w:spacing w:before="120" w:after="0"/>
        <w:jc w:val="left"/>
        <w:rPr>
          <w:rFonts w:ascii="Times New Roman" w:hAnsi="Times New Roman"/>
          <w:sz w:val="20"/>
        </w:rPr>
      </w:pPr>
      <w:r>
        <w:rPr>
          <w:rFonts w:ascii="Times New Roman" w:hAnsi="Times New Roman"/>
          <w:sz w:val="20"/>
        </w:rPr>
        <w:t xml:space="preserve">(m) references to any Law will include all statutory and regulatory provisions amending, consolidating, replacing, supplementing or interpreting such Law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provided herein, references to organizational documents, agreements (including the Notes Documents) and other contractual instruments shall be deemed to include all subsequent amendments, restatements, extensions, supplements and other modifications thereto permitted by the Notes Documents. </w:t>
      </w:r>
    </w:p>
    <w:p>
      <w:pPr>
        <w:pStyle w:val="TextBody"/>
        <w:bidi w:val="0"/>
        <w:spacing w:before="240" w:after="0"/>
        <w:jc w:val="left"/>
        <w:rPr>
          <w:rFonts w:ascii="Times New Roman" w:hAnsi="Times New Roman"/>
          <w:sz w:val="20"/>
        </w:rPr>
      </w:pPr>
      <w:r>
        <w:rPr>
          <w:rFonts w:ascii="Times New Roman" w:hAnsi="Times New Roman"/>
          <w:sz w:val="20"/>
        </w:rPr>
        <w:t xml:space="preserve">If any obligation to pay any amount pursuant to the terms and conditions of any Notes Document falls due on a day which is not a Business Day, then such required payment date shall be extended to the immediately following Business Day. For the purposes of calculations made pursuant to the terms of this Agreement or otherwise for purposes of compliance herewith, GAAP will be deemed to treat operating leases as set forth in the definition of Capital Lease Obligations. For the avoidance of doubt, any lease that would have been characterized as an operating lease under Accounting Standards Codification Topic No. 840, </w:t>
      </w:r>
      <w:r>
        <w:rPr>
          <w:rFonts w:ascii="Times New Roman" w:hAnsi="Times New Roman"/>
          <w:i/>
          <w:sz w:val="20"/>
        </w:rPr>
        <w:t>Leases</w:t>
      </w:r>
      <w:r>
        <w:rPr>
          <w:rFonts w:ascii="Times New Roman" w:hAnsi="Times New Roman"/>
          <w:sz w:val="20"/>
        </w:rPr>
        <w:t xml:space="preserve">, shall be accounted for as an operating lease (and not as a capital lease or otherwise reflected on the Issuer’s consolidated balance sheet) for purposes of this Agreement regardless of the implementation of Accounting Standards Codification Topic No. 842, </w:t>
      </w:r>
      <w:r>
        <w:rPr>
          <w:rFonts w:ascii="Times New Roman" w:hAnsi="Times New Roman"/>
          <w:i/>
          <w:sz w:val="20"/>
        </w:rPr>
        <w:t>Leases</w:t>
      </w:r>
      <w:r>
        <w:rPr>
          <w:rFonts w:ascii="Times New Roman" w:hAnsi="Times New Roman"/>
          <w:sz w:val="20"/>
        </w:rPr>
        <w:t xml:space="preserve">, or any change in GAAP following the Closing Date that would otherwise require such lease to be characterized or re-characterized (on a prospective or retroactive basis or otherwise) as a capital lease. </w:t>
      </w:r>
    </w:p>
    <w:p>
      <w:pPr>
        <w:pStyle w:val="TextBody"/>
        <w:bidi w:val="0"/>
        <w:spacing w:before="12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rPr>
        <w:t>Divisions</w:t>
      </w:r>
      <w:r>
        <w:rPr>
          <w:rFonts w:ascii="Times New Roman" w:hAnsi="Times New Roman"/>
          <w:sz w:val="20"/>
        </w:rPr>
        <w:t xml:space="preserve">. For all purposes under the Notes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12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rPr>
        <w:t>Reference Rate Replacement</w:t>
      </w:r>
      <w:r>
        <w:rPr>
          <w:rFonts w:ascii="Times New Roman" w:hAnsi="Times New Roman"/>
          <w:sz w:val="20"/>
        </w:rPr>
        <w:t xml:space="preserve">. Upon the occurrence of an event of the type described in the definition of “Reference Rate Transition Event”, the Administrative Agent will promptly notify the Issuer thereof and as set forth in the definition of “Reference Rate Replacement”, the Administrative Agent and the Issuer shall endeavor, in good faith, to establish an alternate rate of interest to One-Month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rPr>
        <w:t>Times of Day; Times of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otherwise specified, all references herein to times of day shall be references to New York City time (daylight or standard,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If any delivery or other performance obligation hereunder (other than payments) falls due on a day which is not a Business Day, then such due date shall be extended to the immediately following Business Day. </w:t>
      </w:r>
    </w:p>
    <w:p>
      <w:pPr>
        <w:pStyle w:val="TextBody"/>
        <w:bidi w:val="0"/>
        <w:spacing w:before="12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rPr>
        <w:t>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the Term SOFR Reference Rate or One-Month Term SOFR, or any component definition thereof or rates referred to in the definition thereof, or any alternative, successor or replacement rate thereto, including whether the composition or characteristics of any such alternative, successor or replacement rate will be similar to, or produce the same value or economic equivalence of, or have the same volume or liquidity as, the Term SOFR Reference Rate or One-Month Term SOFR prior to its discontinuance or unavailability, or (b) the effect, implementation or composition of any Conforming Changes. There is no assurance that the composition or characteristics of any such alternative, successor or replacement Reference Rate will be similar to or produce the same value or economic equivalence as One-Month Term SOFR or that it will have the same volume or liquidity as did One-Month Term SOFR prior to its discontinuance or unavailability. The Administrative Agent and its affiliates or other related entities may engage in transactions that affect the calculation of the Term SOFR Reference Rate or One-Month Term SOFR, any alternative, successor or replacement rate or any relevant adjustments thereto, in each case, in a manner that is adverse to the Issuer. The Administrative Agent may select information sources or services in its reasonable discretion to ascertain the Term SOFR Reference Rate or One-Month Term SOFR, in each case pursuant to the terms of this Agreement, and shall have no liability to the Issuer, any Noteholder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120" w:after="0"/>
        <w:jc w:val="left"/>
        <w:rPr>
          <w:rFonts w:ascii="Times New Roman" w:hAnsi="Times New Roman"/>
          <w:b/>
          <w:sz w:val="20"/>
        </w:rPr>
      </w:pPr>
      <w:r>
        <w:rPr>
          <w:rFonts w:ascii="Times New Roman" w:hAnsi="Times New Roman"/>
          <w:b/>
          <w:sz w:val="20"/>
        </w:rPr>
        <w:t xml:space="preserve">1.08 Miscellaneous. </w:t>
      </w:r>
    </w:p>
    <w:p>
      <w:pPr>
        <w:pStyle w:val="TextBody"/>
        <w:bidi w:val="0"/>
        <w:spacing w:before="120" w:after="0"/>
        <w:jc w:val="left"/>
        <w:rPr>
          <w:rFonts w:ascii="Times New Roman" w:hAnsi="Times New Roman"/>
          <w:sz w:val="20"/>
        </w:rPr>
      </w:pPr>
      <w:r>
        <w:rPr>
          <w:rFonts w:ascii="Times New Roman" w:hAnsi="Times New Roman"/>
          <w:sz w:val="20"/>
        </w:rPr>
        <w:t>(a) The “</w:t>
      </w:r>
      <w:r>
        <w:rPr>
          <w:rFonts w:ascii="Times New Roman" w:hAnsi="Times New Roman"/>
          <w:b/>
          <w:i/>
          <w:sz w:val="20"/>
        </w:rPr>
        <w:t>date of this Agreement</w:t>
      </w:r>
      <w:r>
        <w:rPr>
          <w:rFonts w:ascii="Times New Roman" w:hAnsi="Times New Roman"/>
          <w:sz w:val="20"/>
        </w:rPr>
        <w:t xml:space="preserve">” is July 30, 2026. </w:t>
      </w:r>
    </w:p>
    <w:p>
      <w:pPr>
        <w:pStyle w:val="TextBody"/>
        <w:bidi w:val="0"/>
        <w:spacing w:before="120" w:after="0"/>
        <w:jc w:val="left"/>
        <w:rPr>
          <w:rFonts w:ascii="Times New Roman" w:hAnsi="Times New Roman"/>
          <w:sz w:val="20"/>
        </w:rPr>
      </w:pPr>
      <w:r>
        <w:rPr>
          <w:rFonts w:ascii="Times New Roman" w:hAnsi="Times New Roman"/>
          <w:sz w:val="20"/>
        </w:rPr>
        <w:t>(b) The term “</w:t>
      </w:r>
      <w:r>
        <w:rPr>
          <w:rFonts w:ascii="Times New Roman" w:hAnsi="Times New Roman"/>
          <w:b/>
          <w:i/>
          <w:sz w:val="20"/>
        </w:rPr>
        <w:t>redemption</w:t>
      </w:r>
      <w:r>
        <w:rPr>
          <w:rFonts w:ascii="Times New Roman" w:hAnsi="Times New Roman"/>
          <w:sz w:val="20"/>
        </w:rPr>
        <w:t xml:space="preserve">” when used in relation to a Note means any prepayment of that Note (or a portion thereof), by prepayment, redemption, purchase or any other means prior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2 </w:t>
      </w:r>
    </w:p>
    <w:p>
      <w:pPr>
        <w:pStyle w:val="TextBody"/>
        <w:bidi w:val="0"/>
        <w:spacing w:before="0" w:after="0"/>
        <w:jc w:val="center"/>
        <w:rPr>
          <w:rFonts w:ascii="Times New Roman" w:hAnsi="Times New Roman"/>
          <w:b/>
          <w:sz w:val="20"/>
        </w:rPr>
      </w:pPr>
      <w:r>
        <w:rPr>
          <w:rFonts w:ascii="Times New Roman" w:hAnsi="Times New Roman"/>
          <w:b/>
          <w:sz w:val="20"/>
        </w:rPr>
        <w:t xml:space="preserve">THE COMMITMENTS AND THE NOTES </w:t>
      </w:r>
    </w:p>
    <w:p>
      <w:pPr>
        <w:pStyle w:val="TextBody"/>
        <w:bidi w:val="0"/>
        <w:spacing w:before="240" w:after="0"/>
        <w:jc w:val="left"/>
        <w:rPr>
          <w:rFonts w:ascii="Times New Roman" w:hAnsi="Times New Roman"/>
          <w:sz w:val="20"/>
        </w:rPr>
      </w:pPr>
      <w:r>
        <w:rPr>
          <w:rFonts w:ascii="Times New Roman" w:hAnsi="Times New Roman"/>
          <w:b/>
          <w:sz w:val="20"/>
        </w:rPr>
        <w:t>2.01</w:t>
      </w:r>
      <w:r>
        <w:rPr>
          <w:rFonts w:ascii="Times New Roman" w:hAnsi="Times New Roman"/>
          <w:sz w:val="20"/>
        </w:rPr>
        <w:t xml:space="preserve"> </w:t>
      </w:r>
      <w:r>
        <w:rPr>
          <w:rFonts w:ascii="Times New Roman" w:hAnsi="Times New Roman"/>
          <w:b/>
          <w:sz w:val="20"/>
        </w:rPr>
        <w:t>Issuance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(i) the Issuer shall authorize the issuance of, and each Noteholder with a Tranche 1 Commitment severally agrees to purchase, on the Closing Date, the Tranche 1 Notes issued by the Issuer in an amount equal to such Noteholder’s Tranche 1 Commitment and (ii) each Noteholder shall advance to the Issuer, on the Closing Date, a principal amount equal to such Noteholder’s Tranche 1 Commitment.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all amounts owed hereunder with respect to the Tranche 1 Notes shall be paid in full no later than the Maturity Date. Each Noteholder’s Tranche 1 Commitment shall be terminated immediately and without further action on the funding of the Tranche 1 Notes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From the Closing Date until the Tranche 2 Notes Draw Termination Date and subject to the terms and conditions of this Agreement, (i) the Issuer may, at its option, authorize the issuance of the Tranche 2 Notes in an aggregate amount not to exceed the Tranche 2 Maximum Issue Amount, (ii) each Noteholder with a Tranche 2 Commitment severally agrees to purchase, on the Tranche 2 Issue Date, the Tranche 2 Notes in an amount not to exceed such Noteholder’s Tranche 2 Commitment, and (iii) each Noteholder shall advance to the Issuer, on the Tranche 2 Issue Date, a principal amount not to exceed such Noteholder’s Tranche 2 Commitment.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all amounts owed hereunder with respect to the Tranche 2 Notes shall be paid in full no later than the Maturity Date. Each Noteholder’s Tranche 2 Commitment shall be terminated immediately and without further action on the earlier of (i) the funding of the Tranche 2 Notes on the Tranche 2 Issue Date and (ii) the Tranche 2 Notes Draw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(c) From the Business Day after the Closing Date until the Tranche 3 Notes Draw Termination Date and subject to the terms and conditions of this Agreement, (i) the Issuer may, at its option, authorize the issuance of the Tranche 3 Notes in an aggregate amount not to exceed the Tranche 3 Maximum Issue Amount, (ii) each Noteholder with a Tranche 3 Commitment severally agrees to purchase, on the Tranche 3 Issue Date, the Tranche 3 Notes in an amount not to exceed such Noteholder’s Tranche 3 Commitment, and (iii) each Noteholder shall advance to the Issuer, on the Tranche 3 Issue Date, a principal amount not to exceed such Noteholder’s Tranche 3 Commitment.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all amounts owed hereunder with respect to the Tranche 3 Notes shall be paid in full no later than the Maturity Date. Each Noteholder’s Tranche 3 Commitment shall be terminated immediately and without further action on the earlier of (i) the funding of the Tranche 3 Notes on the Tranche 3 Issue Date and (ii) the Tranche 3 Notes Draw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(d) From the Business Day after the Closing Date until the Tranche 4 Notes Draw Termination Date and subject to the terms and conditions of this Agreement, (i) the Issuer may, at its option, authorize the issuance of the Tranche 4 Notes in an aggregate amount not to exceed the Tranche 4 Maximum Issue Amount, (ii) each Noteholder with a Tranche 4 Commitment severally agrees to purchase, on the Tranche 4 Issue Date, the Tranche 4 Notes in an amount not to exceed such Noteholder’s Tranche 4 Commitment, and (iii) each Noteholder shall advance to the Issuer, on the Tranche 4 Issue Date, a principal amount not to exceed such Noteholder’s Tranche 4 Commitment. Subject to </w:t>
      </w: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all amounts owed hereunder with respect to the Tranche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shall be paid in full no later than the Maturity Date. Each Noteholder’s Tranche 4 Commitment shall be terminated immediately and without further action on the earlier of (i) the funding of the Tranche 4 Notes on the Tranche 4 Issue Date and (ii) the Tranche 4 Notes Draw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(e) No amount paid, repaid or prepaid by the Issuer or any Guarantor with respect to any Note may be required to be subscribed or readvanced under the Notes Documents. </w:t>
      </w:r>
    </w:p>
    <w:p>
      <w:pPr>
        <w:pStyle w:val="TextBody"/>
        <w:bidi w:val="0"/>
        <w:spacing w:before="120" w:after="0"/>
        <w:jc w:val="left"/>
        <w:rPr>
          <w:rFonts w:ascii="Times New Roman" w:hAnsi="Times New Roman"/>
          <w:sz w:val="20"/>
        </w:rPr>
      </w:pPr>
      <w:r>
        <w:rPr>
          <w:rFonts w:ascii="Times New Roman" w:hAnsi="Times New Roman"/>
          <w:sz w:val="20"/>
        </w:rPr>
        <w:t xml:space="preserve">(f) Any term or provision hereof (or of any other Notes Document) to the contrary notwithstanding, Notes issued and the subscriptions hereunder will be denominated solely in Dollars and no other currency. </w:t>
      </w:r>
    </w:p>
    <w:p>
      <w:pPr>
        <w:pStyle w:val="TextBody"/>
        <w:bidi w:val="0"/>
        <w:spacing w:before="120" w:after="0"/>
        <w:jc w:val="left"/>
        <w:rPr>
          <w:rFonts w:ascii="Times New Roman" w:hAnsi="Times New Roman"/>
          <w:b/>
          <w:sz w:val="20"/>
        </w:rPr>
      </w:pPr>
      <w:r>
        <w:rPr>
          <w:rFonts w:ascii="Times New Roman" w:hAnsi="Times New Roman"/>
          <w:b/>
          <w:sz w:val="20"/>
        </w:rPr>
        <w:t xml:space="preserve">2.02 Procedures for the Issuance of Notes. </w:t>
      </w:r>
    </w:p>
    <w:p>
      <w:pPr>
        <w:pStyle w:val="TextBody"/>
        <w:bidi w:val="0"/>
        <w:spacing w:before="120" w:after="0"/>
        <w:jc w:val="left"/>
        <w:rPr>
          <w:rFonts w:ascii="Times New Roman" w:hAnsi="Times New Roman"/>
          <w:sz w:val="20"/>
        </w:rPr>
      </w:pPr>
      <w:r>
        <w:rPr>
          <w:rFonts w:ascii="Times New Roman" w:hAnsi="Times New Roman"/>
          <w:sz w:val="20"/>
        </w:rPr>
        <w:t xml:space="preserve">(a) (i) At least one (1) Business Day prior to the Closing Date, for the issuance and purchase of the Tranche 1 Notes occurring on such date and (ii) prior to 12:00 p.m. at least five (5) Business Days prior to any Notes Issue Date (other than the Closing Date and in each case, or such shorter period to be agreed by the Administrative Agent), the Issuer shall deliver to the Administrative Agent an irrevocable Notes Subscription Request signed by a Responsible Officer of the Issuer (which notice, if received by the Administrative Agent on a day that is not a Business Day or after 12:00 p.m. on a Business Day, shall be deemed to have been delivered on the next Business Day). Each issuance of the Notes shall be in a principal amount of not less than $1,000,000 (or such lower amount as the Administrative Agent may agree in its sole discretion). Each Notes Subscription Request shall specify (i) the requested Notes Issue Date (which shall be a Business Day), (ii) the Notes to be issued, (iii) the principal amount of Notes to be issued, and (iv) the Issuer’s wire instructions (unless there is a separate direction letter signed by a Responsible Officer of the Issuer providing such wire instructions). </w:t>
      </w:r>
    </w:p>
    <w:p>
      <w:pPr>
        <w:pStyle w:val="TextBody"/>
        <w:bidi w:val="0"/>
        <w:spacing w:before="120" w:after="0"/>
        <w:jc w:val="left"/>
        <w:rPr>
          <w:rFonts w:ascii="Times New Roman" w:hAnsi="Times New Roman"/>
          <w:sz w:val="20"/>
        </w:rPr>
      </w:pPr>
      <w:r>
        <w:rPr>
          <w:rFonts w:ascii="Times New Roman" w:hAnsi="Times New Roman"/>
          <w:sz w:val="20"/>
        </w:rPr>
        <w:t xml:space="preserve">(b) Promptly following receipt of any Notes Subscription Request, the Administrative Agent shall advise the applicable Noteholders of the details thereof. Each Noteholder shall purchase the requested Notes on the proposed Notes Issue Date by making available its Proportionate Share of the applicable Commitment to the Administrative Agent, solely by wire transfer of immediately available funds, by 2:00 p.m., to the account of the Administrative Agent most recently designated by it for such purpose by notice to the Noteholders. Upon receipt of all funds and the satisfaction and waiver of the conditions precedent specified herein, the Administrative Agent shall make the proceeds of the applicable Notes available to the Issuer promptly by wire transfer of the amounts so received, in like funds, to an account designated by the Issuer in the applicable Notes Subscription Request. </w:t>
      </w:r>
    </w:p>
    <w:p>
      <w:pPr>
        <w:pStyle w:val="TextBody"/>
        <w:bidi w:val="0"/>
        <w:spacing w:before="120" w:after="0"/>
        <w:jc w:val="left"/>
        <w:rPr>
          <w:rFonts w:ascii="Times New Roman" w:hAnsi="Times New Roman"/>
          <w:sz w:val="20"/>
        </w:rPr>
      </w:pPr>
      <w:r>
        <w:rPr>
          <w:rFonts w:ascii="Times New Roman" w:hAnsi="Times New Roman"/>
          <w:b/>
          <w:sz w:val="20"/>
        </w:rPr>
        <w:t>2.03</w:t>
      </w:r>
      <w:r>
        <w:rPr>
          <w:rFonts w:ascii="Times New Roman" w:hAnsi="Times New Roman"/>
          <w:sz w:val="20"/>
        </w:rPr>
        <w:t xml:space="preserve"> </w:t>
      </w:r>
      <w:r>
        <w:rPr>
          <w:rFonts w:ascii="Times New Roman" w:hAnsi="Times New Roman"/>
          <w:b/>
          <w:sz w:val="20"/>
        </w:rPr>
        <w:t>Noteholder Representations.</w:t>
      </w:r>
      <w:r>
        <w:rPr>
          <w:rFonts w:ascii="Times New Roman" w:hAnsi="Times New Roman"/>
          <w:sz w:val="20"/>
        </w:rPr>
        <w:t xml:space="preserve"> Each Noteholder hereby represents and warrants to the Issuer that: </w:t>
      </w:r>
    </w:p>
    <w:p>
      <w:pPr>
        <w:pStyle w:val="TextBody"/>
        <w:bidi w:val="0"/>
        <w:spacing w:before="120" w:after="0"/>
        <w:jc w:val="left"/>
        <w:rPr>
          <w:rFonts w:ascii="Times New Roman" w:hAnsi="Times New Roman"/>
          <w:sz w:val="20"/>
        </w:rPr>
      </w:pPr>
      <w:r>
        <w:rPr>
          <w:rFonts w:ascii="Times New Roman" w:hAnsi="Times New Roman"/>
          <w:sz w:val="20"/>
        </w:rPr>
        <w:t xml:space="preserve">(a) The Noteholder is, and on the Closing Date was, (i) an “accredited investor” as that term is defined in Rule 501(a) of Regulation D under the Securities Act and (ii) a “qualified institutional buyer” (as that term is defined in Rule 144A of the Securities Act). The Noteholder is acquiring, or acquired on the Closing Date, the Notes for investment for its own account and not with a current view towards, or for resale in connection with, the public sale or distribution of the Notes, except pursuant to sales registered or exempted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Noteholder understands and acknowledges that the Notes issued, or to be issued, are “restricted securities” under the Securities Act inasmuch as they are being acquired from the Issuer in a transaction not involving a public offering and that, under such Laws and applicable regulations, such securities may be resold without registration under the Securities Act only in certain limited circumstances. In addition, each Noteholder represents that it is familiar with Rules 144 and 144A, as presently in effect, and understands the resale limitations imposed thereby and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The Noteholder acknowledges that it can bear the economic and financial risk of its investment for an indefinite period and has such knowledge and experience in financial or business matters that it is capable of evaluating the merits and risks of the investment in the Notes. The Noteholder has had an opportunity to ask questions and receive answers from the Issuer regarding the terms and conditions of the Notes and the business, properties, prospects and financial condition of the Issuer. </w:t>
      </w:r>
    </w:p>
    <w:p>
      <w:pPr>
        <w:pStyle w:val="TextBody"/>
        <w:bidi w:val="0"/>
        <w:spacing w:before="120" w:after="0"/>
        <w:jc w:val="left"/>
        <w:rPr>
          <w:rFonts w:ascii="Times New Roman" w:hAnsi="Times New Roman"/>
          <w:sz w:val="20"/>
        </w:rPr>
      </w:pPr>
      <w:r>
        <w:rPr>
          <w:rFonts w:ascii="Times New Roman" w:hAnsi="Times New Roman"/>
          <w:b/>
          <w:sz w:val="20"/>
        </w:rPr>
        <w:t>2.04</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The Issuer shall use the proceeds of the Notes for working capital and general corporate purposes (for the avoidance of doubt, including for any Product Commercialization and Development Activities), including the payment of fees and expenses in connection with this Agreement, the other Notes Documents, and the transactions contemplated hereby and thereby. </w:t>
      </w:r>
    </w:p>
    <w:p>
      <w:pPr>
        <w:pStyle w:val="TextBody"/>
        <w:bidi w:val="0"/>
        <w:spacing w:before="120" w:after="0"/>
        <w:jc w:val="left"/>
        <w:rPr>
          <w:rFonts w:ascii="Times New Roman" w:hAnsi="Times New Roman"/>
          <w:sz w:val="20"/>
        </w:rPr>
      </w:pPr>
      <w:r>
        <w:rPr>
          <w:rFonts w:ascii="Times New Roman" w:hAnsi="Times New Roman"/>
          <w:b/>
          <w:sz w:val="20"/>
        </w:rPr>
        <w:t>2.05</w:t>
      </w:r>
      <w:r>
        <w:rPr>
          <w:rFonts w:ascii="Times New Roman" w:hAnsi="Times New Roman"/>
          <w:sz w:val="20"/>
        </w:rPr>
        <w:t xml:space="preserve"> </w:t>
      </w:r>
      <w:r>
        <w:rPr>
          <w:rFonts w:ascii="Times New Roman" w:hAnsi="Times New Roman"/>
          <w:b/>
          <w:sz w:val="20"/>
        </w:rPr>
        <w:t>Constitution of the Notes</w:t>
      </w:r>
      <w:r>
        <w:rPr>
          <w:rFonts w:ascii="Times New Roman" w:hAnsi="Times New Roman"/>
          <w:sz w:val="20"/>
        </w:rPr>
        <w:t xml:space="preserve">. The Notes will be: </w:t>
      </w:r>
    </w:p>
    <w:p>
      <w:pPr>
        <w:pStyle w:val="TextBody"/>
        <w:bidi w:val="0"/>
        <w:spacing w:before="120" w:after="0"/>
        <w:jc w:val="left"/>
        <w:rPr>
          <w:rFonts w:ascii="Times New Roman" w:hAnsi="Times New Roman"/>
          <w:sz w:val="20"/>
        </w:rPr>
      </w:pPr>
      <w:r>
        <w:rPr>
          <w:rFonts w:ascii="Times New Roman" w:hAnsi="Times New Roman"/>
          <w:sz w:val="20"/>
        </w:rPr>
        <w:t xml:space="preserve">(a) issued in a minimum amount of $1,000,000 and integral multiples thereof; </w:t>
      </w:r>
    </w:p>
    <w:p>
      <w:pPr>
        <w:pStyle w:val="TextBody"/>
        <w:bidi w:val="0"/>
        <w:spacing w:before="120" w:after="0"/>
        <w:jc w:val="left"/>
        <w:rPr>
          <w:rFonts w:ascii="Times New Roman" w:hAnsi="Times New Roman"/>
          <w:sz w:val="20"/>
        </w:rPr>
      </w:pPr>
      <w:r>
        <w:rPr>
          <w:rFonts w:ascii="Times New Roman" w:hAnsi="Times New Roman"/>
          <w:sz w:val="20"/>
        </w:rPr>
        <w:t xml:space="preserve">(b) considered issued when their details are registered in the Notes Register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14.05(d)</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terms and conditions of this Agreement. </w:t>
      </w:r>
    </w:p>
    <w:p>
      <w:pPr>
        <w:pStyle w:val="TextBody"/>
        <w:bidi w:val="0"/>
        <w:spacing w:before="120" w:after="0"/>
        <w:jc w:val="left"/>
        <w:rPr>
          <w:rFonts w:ascii="Times New Roman" w:hAnsi="Times New Roman"/>
          <w:sz w:val="20"/>
        </w:rPr>
      </w:pPr>
      <w:r>
        <w:rPr>
          <w:rFonts w:ascii="Times New Roman" w:hAnsi="Times New Roman"/>
          <w:b/>
          <w:sz w:val="20"/>
        </w:rPr>
        <w:t>2.06</w:t>
      </w:r>
      <w:r>
        <w:rPr>
          <w:rFonts w:ascii="Times New Roman" w:hAnsi="Times New Roman"/>
          <w:sz w:val="20"/>
        </w:rPr>
        <w:t xml:space="preserve"> </w:t>
      </w:r>
      <w:r>
        <w:rPr>
          <w:rFonts w:ascii="Times New Roman" w:hAnsi="Times New Roman"/>
          <w:b/>
          <w:sz w:val="20"/>
        </w:rPr>
        <w:t>Signing and Authenticating Notes Certificates</w:t>
      </w:r>
      <w:r>
        <w:rPr>
          <w:rFonts w:ascii="Times New Roman" w:hAnsi="Times New Roman"/>
          <w:sz w:val="20"/>
        </w:rPr>
        <w:t xml:space="preserve">. A Notes Certificate shall not be considered to have been issued unless and until it has been signed by the Issuer and authenticated by the Administrative Agent. </w:t>
      </w:r>
    </w:p>
    <w:p>
      <w:pPr>
        <w:pStyle w:val="TextBody"/>
        <w:bidi w:val="0"/>
        <w:spacing w:before="120" w:after="0"/>
        <w:jc w:val="left"/>
        <w:rPr>
          <w:rFonts w:ascii="Times New Roman" w:hAnsi="Times New Roman"/>
          <w:sz w:val="20"/>
        </w:rPr>
      </w:pPr>
      <w:r>
        <w:rPr>
          <w:rFonts w:ascii="Times New Roman" w:hAnsi="Times New Roman"/>
          <w:b/>
          <w:sz w:val="20"/>
        </w:rPr>
        <w:t>2.07</w:t>
      </w:r>
      <w:r>
        <w:rPr>
          <w:rFonts w:ascii="Times New Roman" w:hAnsi="Times New Roman"/>
          <w:sz w:val="20"/>
        </w:rPr>
        <w:t xml:space="preserve"> </w:t>
      </w:r>
      <w:r>
        <w:rPr>
          <w:rFonts w:ascii="Times New Roman" w:hAnsi="Times New Roman"/>
          <w:b/>
          <w:sz w:val="20"/>
        </w:rPr>
        <w:t>Status of Notes Certificate</w:t>
      </w:r>
      <w:r>
        <w:rPr>
          <w:rFonts w:ascii="Times New Roman" w:hAnsi="Times New Roman"/>
          <w:sz w:val="20"/>
        </w:rPr>
        <w:t xml:space="preserve">. A Notes Certificate shall serve as evidence of the relevant records in the Notes Register and shall not represent title to the Notes. In the event of a conflict between information in a Notes Certificate and information in the Notes Register, the information in the Notes Register will prevail. </w:t>
      </w:r>
    </w:p>
    <w:p>
      <w:pPr>
        <w:pStyle w:val="TextBody"/>
        <w:bidi w:val="0"/>
        <w:spacing w:before="120" w:after="0"/>
        <w:jc w:val="left"/>
        <w:rPr>
          <w:rFonts w:ascii="Times New Roman" w:hAnsi="Times New Roman"/>
          <w:sz w:val="20"/>
        </w:rPr>
      </w:pPr>
      <w:r>
        <w:rPr>
          <w:rFonts w:ascii="Times New Roman" w:hAnsi="Times New Roman"/>
          <w:b/>
          <w:sz w:val="20"/>
        </w:rPr>
        <w:t>2.08</w:t>
      </w:r>
      <w:r>
        <w:rPr>
          <w:rFonts w:ascii="Times New Roman" w:hAnsi="Times New Roman"/>
          <w:sz w:val="20"/>
        </w:rPr>
        <w:t xml:space="preserve"> </w:t>
      </w:r>
      <w:r>
        <w:rPr>
          <w:rFonts w:ascii="Times New Roman" w:hAnsi="Times New Roman"/>
          <w:b/>
          <w:sz w:val="20"/>
        </w:rPr>
        <w:t>Stocks of Blank Notes Certificates</w:t>
      </w:r>
      <w:r>
        <w:rPr>
          <w:rFonts w:ascii="Times New Roman" w:hAnsi="Times New Roman"/>
          <w:sz w:val="20"/>
        </w:rPr>
        <w:t xml:space="preserve">. The Issuer shall execute and deliver to the Administrative Agent such number of blank Notes Certificates, duly signed by it, as the Administrative Agent may from time to time reasonably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2.09</w:t>
      </w:r>
      <w:r>
        <w:rPr>
          <w:rFonts w:ascii="Times New Roman" w:hAnsi="Times New Roman"/>
          <w:sz w:val="20"/>
        </w:rPr>
        <w:t xml:space="preserve"> </w:t>
      </w:r>
      <w:r>
        <w:rPr>
          <w:rFonts w:ascii="Times New Roman" w:hAnsi="Times New Roman"/>
          <w:b/>
          <w:sz w:val="20"/>
        </w:rPr>
        <w:t>Delivery of Replacements</w:t>
      </w:r>
      <w:r>
        <w:rPr>
          <w:rFonts w:ascii="Times New Roman" w:hAnsi="Times New Roman"/>
          <w:sz w:val="20"/>
        </w:rPr>
        <w:t xml:space="preserve">. Subject to receipt of sufficient blank Notes Certificates, the Administrative Agent shall, upon and in accordance with the instructions of the Issuer (which instructions may, without limitation, include terms as to the payment of expenses and as to evidence, security and indemnity), complete, authenticate and deliver replacement Notes Certificates. </w:t>
      </w:r>
    </w:p>
    <w:p>
      <w:pPr>
        <w:pStyle w:val="TextBody"/>
        <w:bidi w:val="0"/>
        <w:spacing w:before="12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rPr>
        <w:t>Replacement Notes Certificates</w:t>
      </w:r>
      <w:r>
        <w:rPr>
          <w:rFonts w:ascii="Times New Roman" w:hAnsi="Times New Roman"/>
          <w:sz w:val="20"/>
        </w:rPr>
        <w:t xml:space="preserve">. The Administrative Agent shall not deliver or issue any replacement Notes Certificate: </w:t>
      </w:r>
    </w:p>
    <w:p>
      <w:pPr>
        <w:pStyle w:val="TextBody"/>
        <w:bidi w:val="0"/>
        <w:spacing w:before="120" w:after="0"/>
        <w:jc w:val="left"/>
        <w:rPr>
          <w:rFonts w:ascii="Times New Roman" w:hAnsi="Times New Roman"/>
          <w:sz w:val="20"/>
        </w:rPr>
      </w:pPr>
      <w:r>
        <w:rPr>
          <w:rFonts w:ascii="Times New Roman" w:hAnsi="Times New Roman"/>
          <w:sz w:val="20"/>
        </w:rPr>
        <w:t xml:space="preserve">(a) if the Notes Certificate being replaced has been mutilated or defaced otherwise than against the surrender of the same; and </w:t>
      </w:r>
    </w:p>
    <w:p>
      <w:pPr>
        <w:pStyle w:val="TextBody"/>
        <w:bidi w:val="0"/>
        <w:spacing w:before="120" w:after="0"/>
        <w:jc w:val="left"/>
        <w:rPr>
          <w:rFonts w:ascii="Times New Roman" w:hAnsi="Times New Roman"/>
          <w:sz w:val="20"/>
        </w:rPr>
      </w:pPr>
      <w:r>
        <w:rPr>
          <w:rFonts w:ascii="Times New Roman" w:hAnsi="Times New Roman"/>
          <w:sz w:val="20"/>
        </w:rPr>
        <w:t xml:space="preserve">(b) until the claimant of the Notes Certificate has: </w:t>
      </w:r>
    </w:p>
    <w:p>
      <w:pPr>
        <w:pStyle w:val="TextBody"/>
        <w:bidi w:val="0"/>
        <w:spacing w:before="120" w:after="0"/>
        <w:jc w:val="left"/>
        <w:rPr>
          <w:rFonts w:ascii="Times New Roman" w:hAnsi="Times New Roman"/>
          <w:sz w:val="20"/>
        </w:rPr>
      </w:pPr>
      <w:r>
        <w:rPr>
          <w:rFonts w:ascii="Times New Roman" w:hAnsi="Times New Roman"/>
          <w:sz w:val="20"/>
        </w:rPr>
        <w:t xml:space="preserve">(i) provided to the Administrative Agent such evidence, security and indemnity as the Issuer and/or Administrative Agent may reasonably require; and </w:t>
      </w:r>
    </w:p>
    <w:p>
      <w:pPr>
        <w:pStyle w:val="TextBody"/>
        <w:bidi w:val="0"/>
        <w:spacing w:before="120" w:after="0"/>
        <w:jc w:val="left"/>
        <w:rPr>
          <w:rFonts w:ascii="Times New Roman" w:hAnsi="Times New Roman"/>
          <w:sz w:val="20"/>
        </w:rPr>
      </w:pPr>
      <w:r>
        <w:rPr>
          <w:rFonts w:ascii="Times New Roman" w:hAnsi="Times New Roman"/>
          <w:sz w:val="20"/>
        </w:rPr>
        <w:t xml:space="preserve">(ii) paid such costs and expenses as may be incurred in connection with such replacement. </w:t>
      </w:r>
    </w:p>
    <w:p>
      <w:pPr>
        <w:pStyle w:val="TextBody"/>
        <w:bidi w:val="0"/>
        <w:spacing w:before="12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rPr>
        <w:t>Replacements to be Numbered</w:t>
      </w:r>
      <w:r>
        <w:rPr>
          <w:rFonts w:ascii="Times New Roman" w:hAnsi="Times New Roman"/>
          <w:sz w:val="20"/>
        </w:rPr>
        <w:t xml:space="preserve">. Each replacement Notes Certificate shall bear a unique serial number. </w:t>
      </w:r>
    </w:p>
    <w:p>
      <w:pPr>
        <w:pStyle w:val="TextBody"/>
        <w:bidi w:val="0"/>
        <w:spacing w:before="12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rPr>
        <w:t>Cancellation and Destruction</w:t>
      </w:r>
      <w:r>
        <w:rPr>
          <w:rFonts w:ascii="Times New Roman" w:hAnsi="Times New Roman"/>
          <w:sz w:val="20"/>
        </w:rPr>
        <w:t xml:space="preserve">. The Administrative Agent shall cancel and destroy each mutilated or defaced Notes Certificate surrendered to it in respect of which a replacement Notes Certificate has been delivered. </w:t>
      </w:r>
    </w:p>
    <w:p>
      <w:pPr>
        <w:pStyle w:val="TextBody"/>
        <w:bidi w:val="0"/>
        <w:spacing w:before="12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rPr>
        <w:t>Notification</w:t>
      </w:r>
      <w:r>
        <w:rPr>
          <w:rFonts w:ascii="Times New Roman" w:hAnsi="Times New Roman"/>
          <w:sz w:val="20"/>
        </w:rPr>
        <w:t xml:space="preserve">. The Administrative Agent shall notify the Issuer of the delivery by it of any replacement Notes Certificate surrendered to it in respect of which a replacement Notes Certificate has been delivered. </w:t>
      </w:r>
    </w:p>
    <w:p>
      <w:pPr>
        <w:pStyle w:val="TextBody"/>
        <w:bidi w:val="0"/>
        <w:spacing w:before="12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rPr>
        <w:t>Legend</w:t>
      </w:r>
      <w:r>
        <w:rPr>
          <w:rFonts w:ascii="Times New Roman" w:hAnsi="Times New Roman"/>
          <w:sz w:val="20"/>
        </w:rPr>
        <w:t>. The Notes may only be transferred or disposed of in compliance with applicable state and federal securities Laws. For so long as such restrictions apply, the Noteholder agrees to the imprinting of a legend in the Notes Register and on the Notes in the following form: THIS NOTE HAS NOT BEEN REGISTERED UNDER THE SECURITIES ACT OF 1933, AS AMENDED (THE “</w:t>
      </w:r>
      <w:r>
        <w:rPr>
          <w:rFonts w:ascii="Times New Roman" w:hAnsi="Times New Roman"/>
          <w:b/>
          <w:i/>
          <w:sz w:val="20"/>
        </w:rPr>
        <w:t>ACT</w:t>
      </w:r>
      <w:r>
        <w:rPr>
          <w:rFonts w:ascii="Times New Roman" w:hAnsi="Times New Roman"/>
          <w:sz w:val="20"/>
        </w:rPr>
        <w:t xml:space="preserve">”) OR UNDER THE SECURITIES LAWS OF CERTAIN STATES, AND MAY NOT BE SOLD, OFFERED FOR SALE, PLEDGED, CHARGED, HYPOTHECATED OR OTHERWISE TRANSFERRED EXCEPT PURSUANT TO AN EFFECTIVE REGISTRATION STATEMENT FILED UNDER THE ACT AND APPLICABLE STATE SECURITIES LAWS OR PURSUANT TO AN AVAILABLE EXEMPTION FROM REGISTRATION UNDER THE ACT AND APPLICABLE STATE SECURITIES LAWS OR UNLESS SOLD IN ACCORDANCE WITH RULE 144 UNDER THE ACT.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3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REDEMPTION AND INTEREST </w:t>
      </w:r>
    </w:p>
    <w:p>
      <w:pPr>
        <w:pStyle w:val="TextBody"/>
        <w:bidi w:val="0"/>
        <w:spacing w:before="240" w:after="0"/>
        <w:jc w:val="left"/>
        <w:rPr>
          <w:rFonts w:ascii="Times New Roman" w:hAnsi="Times New Roman"/>
          <w:sz w:val="20"/>
        </w:rPr>
      </w:pPr>
      <w:r>
        <w:rPr>
          <w:rFonts w:ascii="Times New Roman" w:hAnsi="Times New Roman"/>
          <w:b/>
          <w:sz w:val="20"/>
        </w:rPr>
        <w:t>3.01</w:t>
      </w:r>
      <w:r>
        <w:rPr>
          <w:rFonts w:ascii="Times New Roman" w:hAnsi="Times New Roman"/>
          <w:sz w:val="20"/>
        </w:rPr>
        <w:t xml:space="preserve"> </w:t>
      </w:r>
      <w:r>
        <w:rPr>
          <w:rFonts w:ascii="Times New Roman" w:hAnsi="Times New Roman"/>
          <w:b/>
          <w:sz w:val="20"/>
        </w:rPr>
        <w:t>Payments and Redemption Generally; Application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There will be no scheduled redemptions of principal on the Notes prior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Maturity Date, the Issuer shall redeem the entire remaining outstanding principal amount of the Notes at par in full and in cash, together with accrued and unpaid interest and any other accrued and unpaid charges thereon and all other Obligations due and payable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Issuer agrees that all amounts payable hereunder or under any other Notes Document, whether in respect of any Notes, fees or interest accrued or accruing thereon, or any other Obligations, shall be paid, repaid and prepaid, as the case may be, solely in Dollars and no other currency pursuant to the terms of this </w:t>
      </w: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Except as otherwise provided in this Agreement, proceeds of each payment (including each redemption of Notes) by the Issuer shall be, and shall be deemed to be, made ratably to the Noteholders in accordance with their respective Proportionate Shares. </w:t>
      </w:r>
    </w:p>
    <w:p>
      <w:pPr>
        <w:pStyle w:val="TextBody"/>
        <w:bidi w:val="0"/>
        <w:spacing w:before="120" w:after="0"/>
        <w:jc w:val="left"/>
        <w:rPr>
          <w:rFonts w:ascii="Times New Roman" w:hAnsi="Times New Roman"/>
          <w:sz w:val="20"/>
        </w:rPr>
      </w:pPr>
      <w:r>
        <w:rPr>
          <w:rFonts w:ascii="Times New Roman" w:hAnsi="Times New Roman"/>
          <w:b/>
          <w:sz w:val="20"/>
        </w:rPr>
        <w:t>3.02</w:t>
      </w:r>
      <w:r>
        <w:rPr>
          <w:rFonts w:ascii="Times New Roman" w:hAnsi="Times New Roman"/>
          <w:sz w:val="20"/>
        </w:rPr>
        <w:t xml:space="preserve"> </w:t>
      </w:r>
      <w:r>
        <w:rPr>
          <w:rFonts w:ascii="Times New Roman" w:hAnsi="Times New Roman"/>
          <w:b/>
          <w:sz w:val="20"/>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Interest Generally</w:t>
      </w:r>
      <w:r>
        <w:rPr>
          <w:rFonts w:ascii="Times New Roman" w:hAnsi="Times New Roman"/>
          <w:sz w:val="20"/>
        </w:rPr>
        <w:t xml:space="preserve">. The outstanding principal amount of the Notes, as well as the amount of all other outstanding Obligations, shall accrue interest at the Interest Rate on and from the Closing Date. The Administrative Agent’s determination of the Interest Rate shall be binding on the Issuer, its Subsidiaries and the Noteholders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Default Interest</w:t>
      </w:r>
      <w:r>
        <w:rPr>
          <w:rFonts w:ascii="Times New Roman" w:hAnsi="Times New Roman"/>
          <w:sz w:val="20"/>
        </w:rPr>
        <w:t xml:space="preserve">. Notwithstanding the foregoing, upon the occurrence and during the continuance of any Event of Default, the Interest Rate shall increase (i) automatically, in the case of any Event of Default under </w:t>
      </w:r>
      <w:r>
        <w:rPr>
          <w:rFonts w:ascii="Times New Roman" w:hAnsi="Times New Roman"/>
          <w:b/>
          <w:sz w:val="20"/>
        </w:rPr>
        <w:t>Sections 11.01(a)</w:t>
      </w:r>
      <w:r>
        <w:rPr>
          <w:rFonts w:ascii="Times New Roman" w:hAnsi="Times New Roman"/>
          <w:sz w:val="20"/>
        </w:rPr>
        <w:t xml:space="preserve">, </w:t>
      </w:r>
      <w:r>
        <w:rPr>
          <w:rFonts w:ascii="Times New Roman" w:hAnsi="Times New Roman"/>
          <w:b/>
          <w:sz w:val="20"/>
        </w:rPr>
        <w:t>(b)</w:t>
      </w:r>
      <w:r>
        <w:rPr>
          <w:rFonts w:ascii="Times New Roman" w:hAnsi="Times New Roman"/>
          <w:sz w:val="20"/>
        </w:rPr>
        <w:t xml:space="preserve">, </w:t>
      </w:r>
      <w:r>
        <w:rPr>
          <w:rFonts w:ascii="Times New Roman" w:hAnsi="Times New Roman"/>
          <w:b/>
          <w:sz w:val="20"/>
        </w:rPr>
        <w:t>(h)</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or </w:t>
      </w:r>
      <w:r>
        <w:rPr>
          <w:rFonts w:ascii="Times New Roman" w:hAnsi="Times New Roman"/>
          <w:b/>
          <w:sz w:val="20"/>
        </w:rPr>
        <w:t>(j)</w:t>
      </w:r>
      <w:r>
        <w:rPr>
          <w:rFonts w:ascii="Times New Roman" w:hAnsi="Times New Roman"/>
          <w:sz w:val="20"/>
        </w:rPr>
        <w:t xml:space="preserve"> and (ii) upon the request of the Administrative Agent and upon written notice to the Issuer in the case of any other Event of Default, by four percent (4.0%) per annum (the Interest Rate, as increased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3.02(b)</w:t>
      </w:r>
      <w:r>
        <w:rPr>
          <w:rFonts w:ascii="Times New Roman" w:hAnsi="Times New Roman"/>
          <w:sz w:val="20"/>
        </w:rPr>
        <w:t>, being the “</w:t>
      </w:r>
      <w:r>
        <w:rPr>
          <w:rFonts w:ascii="Times New Roman" w:hAnsi="Times New Roman"/>
          <w:b/>
          <w:i/>
          <w:sz w:val="20"/>
        </w:rPr>
        <w:t>Default Rate</w:t>
      </w:r>
      <w:r>
        <w:rPr>
          <w:rFonts w:ascii="Times New Roman" w:hAnsi="Times New Roman"/>
          <w:sz w:val="20"/>
        </w:rPr>
        <w:t xml:space="preserve">”). If any Obligation is not paid when due under any applicable Notes Document, the amount thereof shall accrue interest at the Default Rate. For the avoidance of doubt, the Default Rate shall not be cumulative and no more than four percent (4.00%) per annum can be applicable to the Notes or any past due Obligation at any time, and further for the avoidance of doubt, once an Event of Default is waived by the Administrative Agent or the Majority Noteholders, the Default Rate shall cease to apply.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Interest Payment Dates</w:t>
      </w:r>
      <w:r>
        <w:rPr>
          <w:rFonts w:ascii="Times New Roman" w:hAnsi="Times New Roman"/>
          <w:sz w:val="20"/>
        </w:rPr>
        <w:t xml:space="preserve">. Accrued interest on the Notes shall be payable in cash, in arrears, on each Payment Date with respect to the most recently completed Interest Period, and upon the payment or redemption of the Notes (on the principal amount being so paid or redeemed); </w:t>
      </w:r>
      <w:r>
        <w:rPr>
          <w:rFonts w:ascii="Times New Roman" w:hAnsi="Times New Roman"/>
          <w:sz w:val="20"/>
          <w:u w:val="single"/>
        </w:rPr>
        <w:t>provided</w:t>
      </w:r>
      <w:r>
        <w:rPr>
          <w:rFonts w:ascii="Times New Roman" w:hAnsi="Times New Roman"/>
          <w:sz w:val="20"/>
        </w:rPr>
        <w:t xml:space="preserve"> that interest payable at the Default Rate, or any accrued interest not paid on or before the Maturity Date, shall be payable from time to time in cash on the Administrative Agent’s demand until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Conforming Changes</w:t>
      </w:r>
      <w:r>
        <w:rPr>
          <w:rFonts w:ascii="Times New Roman" w:hAnsi="Times New Roman"/>
          <w:sz w:val="20"/>
        </w:rPr>
        <w:t xml:space="preserve">. In connection with the use or administration of One-Month Term SOFR, the Administrative Agent will have the right to make Conforming Changes from time to time and, notwithstanding anything to the contrary herein or in any other Notes Document, any amendments implementing such Conforming Changes will become effective without any further action or consent of any other party to this Agreement or any other Notes Document. The Administrative Agent will promptly notify the Issuer and the Noteholders of the effectiveness of any Conforming Changes in connection with the use or administration of One-Month Term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Compensation for Losses</w:t>
      </w:r>
      <w:r>
        <w:rPr>
          <w:rFonts w:ascii="Times New Roman" w:hAnsi="Times New Roman"/>
          <w:sz w:val="20"/>
        </w:rPr>
        <w:t xml:space="preserve">. In the event of the payment or redemption of any principal of any Note other than on the last day of the Interest Period applicable thereto (including as a result of an Event of Default), then, in any such event, the Issuer shall compensate each Noteholder for any reasonable and documented loss, cost and expense attributable to such event, including any reasonable and documented loss, cost or expense arising from the liquidation or redeployment of funds. A certificate of any Noteholder including documentary evidence of any amount or amounts that such Noteholder is entitled to receive pursuant to this Section shall be delivered to the Issuer and shall be conclusive absent manifest error. The Issuer shall pay such Noteholder the amount shown as due on any such certificate within thirty (30) days after receipt thereof.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Listing and Cooperation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agree to cooperate in good faith, and use reasonable efforts, to ensure that all the Notes issued and to be issued hereunder are, as soon as reasonably practicable (and in any event, no later than 45 days) following the Closing Date and each other applicable Notes Issue Date, listed, and continue to be listed, on a Recognised Stock Exchange, such that the exemption from UK withholding tax under section 882 of the UK ITA (“</w:t>
      </w:r>
      <w:r>
        <w:rPr>
          <w:rFonts w:ascii="Times New Roman" w:hAnsi="Times New Roman"/>
          <w:b/>
          <w:i/>
          <w:sz w:val="20"/>
        </w:rPr>
        <w:t>QEB Exemption</w:t>
      </w:r>
      <w:r>
        <w:rPr>
          <w:rFonts w:ascii="Times New Roman" w:hAnsi="Times New Roman"/>
          <w:sz w:val="20"/>
        </w:rPr>
        <w:t xml:space="preserve">”) applies. Any costs arising in connection with the listing shall be borne by the Obligors. </w:t>
      </w:r>
    </w:p>
    <w:p>
      <w:pPr>
        <w:pStyle w:val="TextBody"/>
        <w:bidi w:val="0"/>
        <w:spacing w:before="120" w:after="0"/>
        <w:jc w:val="left"/>
        <w:rPr>
          <w:rFonts w:ascii="Times New Roman" w:hAnsi="Times New Roman"/>
          <w:sz w:val="20"/>
        </w:rPr>
      </w:pPr>
      <w:r>
        <w:rPr>
          <w:rFonts w:ascii="Times New Roman" w:hAnsi="Times New Roman"/>
          <w:sz w:val="20"/>
        </w:rPr>
        <w:t xml:space="preserve">(ii) In the event that (w) it is not possible to list the Notes within 45 days of the Closing Date as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3.02(f)(i)</w:t>
      </w:r>
      <w:r>
        <w:rPr>
          <w:rFonts w:ascii="Times New Roman" w:hAnsi="Times New Roman"/>
          <w:sz w:val="20"/>
        </w:rPr>
        <w:t xml:space="preserve">, (x) the Notes cease to be listed on the Exchange, or any other Recognised Stock Exchange on which they are listed from time to time or (y) there is a change in Law such that the QEB Exemption ceases to be available, the parties agree to cooperate in good faith, and to use reasonable efforts, to eliminate or mitigate any such Taxes to the extent it is possible to do so under applicable Law (such cooperation and efforts to include, as the case may be, listing the Notes on another Recognised Stock Exchange, and, where a Noteholder is entitled to an exemption from or reduction of withholding Tax and it is reasonably practicable for such reduction or exemption to be obtained by such Noteholder, the provision by the parties to each other any forms, certificates or other items, and the completion of any procedural formalities); </w:t>
      </w:r>
      <w:r>
        <w:rPr>
          <w:rFonts w:ascii="Times New Roman" w:hAnsi="Times New Roman"/>
          <w:sz w:val="20"/>
          <w:u w:val="single"/>
        </w:rPr>
        <w:t>provided</w:t>
      </w:r>
      <w:r>
        <w:rPr>
          <w:rFonts w:ascii="Times New Roman" w:hAnsi="Times New Roman"/>
          <w:sz w:val="20"/>
        </w:rPr>
        <w:t xml:space="preserve">, however, that notwithstanding anything to the contrary in this Agreement, (i) the Noteholders shall not be obligated to take any actions that would disclose the identity of its partners.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Interest Deferral</w:t>
      </w:r>
      <w:r>
        <w:rPr>
          <w:rFonts w:ascii="Times New Roman" w:hAnsi="Times New Roman"/>
          <w:sz w:val="20"/>
        </w:rPr>
        <w:t xml:space="preserve">. Notwithstanding any other provision of this Agreement, the payment of any interest in respect of each of the Tranche 1 Notes, the Tranche 2 Notes, the Tranche 3 Notes and the Tranche 4 Notes shall automatically be deferred, at no additional cost to the Obligors, in respect of all Payment Dates, until the first Payment Date following the earlier of: (i) the date the Issuer receives confirmation that such Notes have been listed on a Recognised Stock Exchange; and (ii) the date that is two months following the issuance of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3.03</w:t>
      </w:r>
      <w:r>
        <w:rPr>
          <w:rFonts w:ascii="Times New Roman" w:hAnsi="Times New Roman"/>
          <w:sz w:val="20"/>
        </w:rPr>
        <w:t xml:space="preserve"> </w:t>
      </w:r>
      <w:r>
        <w:rPr>
          <w:rFonts w:ascii="Times New Roman" w:hAnsi="Times New Roman"/>
          <w:b/>
          <w:sz w:val="20"/>
        </w:rPr>
        <w:t>Early Redemption; Early Redemption Premium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Optional Redemption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prior written notice pursuant to </w:t>
      </w:r>
      <w:r>
        <w:rPr>
          <w:rFonts w:ascii="Times New Roman" w:hAnsi="Times New Roman"/>
          <w:b/>
          <w:sz w:val="20"/>
        </w:rPr>
        <w:t>clause (a)(ii)</w:t>
      </w:r>
      <w:r>
        <w:rPr>
          <w:rFonts w:ascii="Times New Roman" w:hAnsi="Times New Roman"/>
          <w:sz w:val="20"/>
        </w:rPr>
        <w:t xml:space="preserve"> below and the applicable portion of the payment of the Early Redemption Fee pursuant to </w:t>
      </w:r>
      <w:r>
        <w:rPr>
          <w:rFonts w:ascii="Times New Roman" w:hAnsi="Times New Roman"/>
          <w:b/>
          <w:sz w:val="20"/>
        </w:rPr>
        <w:t>clause (c)</w:t>
      </w:r>
      <w:r>
        <w:rPr>
          <w:rFonts w:ascii="Times New Roman" w:hAnsi="Times New Roman"/>
          <w:sz w:val="20"/>
        </w:rPr>
        <w:t> below, the Issuer shall have the right to optionally redeem, in whole or in part, in a principal amount of not less than $1,000,000, the outstanding principal amount of the Notes at par on any Business Day (an “</w:t>
      </w:r>
      <w:r>
        <w:rPr>
          <w:rFonts w:ascii="Times New Roman" w:hAnsi="Times New Roman"/>
          <w:b/>
          <w:i/>
          <w:sz w:val="20"/>
        </w:rPr>
        <w:t>Early Redemption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addition to such redeemed principal amount and the Early Redemption Fee applicable to such redeemed principal amount, the Issuer shall also make payment in full in cash on such Early Redemption Date the applicable portion of all accrued but unpaid interest on the principal amount of the Notes being redeemed (such aggregate amount of Early Redemption Fee, redeemed principal and accrued interest being herein referred to as the “</w:t>
      </w:r>
      <w:r>
        <w:rPr>
          <w:rFonts w:ascii="Times New Roman" w:hAnsi="Times New Roman"/>
          <w:b/>
          <w:i/>
          <w:sz w:val="20"/>
        </w:rPr>
        <w:t>Early Redemption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notice of optional redemption shall be effective only if received by the Administrative Agent not later than 2:00 p.m. on a date at least three (3) (but not more than five (5)) Business Days prior to the proposed Early Redemption Date. Each notice of optional redemption shall specify the proposed Early Redemption Date, the principal amount of the Notes to be prepaid, the amount of accrued and unpaid interest that will be paid on the Early Redemption Date, and, in reasonable detail, a calculation of the Early Redemption Fee payable on such Early Redemption Date in connection with such proposed redemption; </w:t>
      </w:r>
      <w:r>
        <w:rPr>
          <w:rFonts w:ascii="Times New Roman" w:hAnsi="Times New Roman"/>
          <w:sz w:val="20"/>
          <w:u w:val="single"/>
        </w:rPr>
        <w:t>provided</w:t>
      </w:r>
      <w:r>
        <w:rPr>
          <w:rFonts w:ascii="Times New Roman" w:hAnsi="Times New Roman"/>
          <w:sz w:val="20"/>
        </w:rPr>
        <w:t xml:space="preserve"> that a notice of optional redemption may state that such redemption is conditional upon the effectiveness of an identifiable event or condition, in which case such notice of redemption may be revoked by the Issuer (by notice to the Administrative Agent on or prior to the proposed Early Redemption Date) if such condition is not satisfied.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Mandatory Redemptions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Within ten (10) Business Days of the receipt of Net Cash Proceeds from the occurrence of any Casualty Event or Asset Sale (other than any Asset Sale permitted pursuant to </w:t>
      </w:r>
      <w:r>
        <w:rPr>
          <w:rFonts w:ascii="Times New Roman" w:hAnsi="Times New Roman"/>
          <w:b/>
          <w:sz w:val="20"/>
        </w:rPr>
        <w:t>Sections 9.09 (a)</w:t>
      </w:r>
      <w:r>
        <w:rPr>
          <w:rFonts w:ascii="Times New Roman" w:hAnsi="Times New Roman"/>
          <w:sz w:val="20"/>
        </w:rPr>
        <w:t xml:space="preserve">, </w:t>
      </w:r>
      <w:r>
        <w:rPr>
          <w:rFonts w:ascii="Times New Roman" w:hAnsi="Times New Roman"/>
          <w:b/>
          <w:sz w:val="20"/>
        </w:rPr>
        <w:t>(b)</w:t>
      </w:r>
      <w:r>
        <w:rPr>
          <w:rFonts w:ascii="Times New Roman" w:hAnsi="Times New Roman"/>
          <w:sz w:val="20"/>
        </w:rPr>
        <w:t xml:space="preserve">, </w:t>
      </w:r>
      <w:r>
        <w:rPr>
          <w:rFonts w:ascii="Times New Roman" w:hAnsi="Times New Roman"/>
          <w:b/>
          <w:sz w:val="20"/>
        </w:rPr>
        <w:t>(c)</w:t>
      </w:r>
      <w:r>
        <w:rPr>
          <w:rFonts w:ascii="Times New Roman" w:hAnsi="Times New Roman"/>
          <w:sz w:val="20"/>
        </w:rPr>
        <w:t xml:space="preserve">, </w:t>
      </w:r>
      <w:r>
        <w:rPr>
          <w:rFonts w:ascii="Times New Roman" w:hAnsi="Times New Roman"/>
          <w:b/>
          <w:sz w:val="20"/>
        </w:rPr>
        <w:t>(d)</w:t>
      </w:r>
      <w:r>
        <w:rPr>
          <w:rFonts w:ascii="Times New Roman" w:hAnsi="Times New Roman"/>
          <w:sz w:val="20"/>
        </w:rPr>
        <w:t xml:space="preserve">, </w:t>
      </w:r>
      <w:r>
        <w:rPr>
          <w:rFonts w:ascii="Times New Roman" w:hAnsi="Times New Roman"/>
          <w:b/>
          <w:sz w:val="20"/>
        </w:rPr>
        <w:t>(e)</w:t>
      </w:r>
      <w:r>
        <w:rPr>
          <w:rFonts w:ascii="Times New Roman" w:hAnsi="Times New Roman"/>
          <w:sz w:val="20"/>
        </w:rPr>
        <w:t xml:space="preserve">, </w:t>
      </w:r>
      <w:r>
        <w:rPr>
          <w:rFonts w:ascii="Times New Roman" w:hAnsi="Times New Roman"/>
          <w:b/>
          <w:sz w:val="20"/>
        </w:rPr>
        <w:t>(g)</w:t>
      </w:r>
      <w:r>
        <w:rPr>
          <w:rFonts w:ascii="Times New Roman" w:hAnsi="Times New Roman"/>
          <w:sz w:val="20"/>
        </w:rPr>
        <w:t xml:space="preserve">, </w:t>
      </w:r>
      <w:r>
        <w:rPr>
          <w:rFonts w:ascii="Times New Roman" w:hAnsi="Times New Roman"/>
          <w:b/>
          <w:sz w:val="20"/>
        </w:rPr>
        <w:t>(j)</w:t>
      </w:r>
      <w:r>
        <w:rPr>
          <w:rFonts w:ascii="Times New Roman" w:hAnsi="Times New Roman"/>
          <w:sz w:val="20"/>
        </w:rPr>
        <w:t xml:space="preserve">, </w:t>
      </w:r>
      <w:r>
        <w:rPr>
          <w:rFonts w:ascii="Times New Roman" w:hAnsi="Times New Roman"/>
          <w:b/>
          <w:sz w:val="20"/>
        </w:rPr>
        <w:t>(k), (n), (o), (p)</w:t>
      </w:r>
      <w:r>
        <w:rPr>
          <w:rFonts w:ascii="Times New Roman" w:hAnsi="Times New Roman"/>
          <w:sz w:val="20"/>
        </w:rPr>
        <w:t xml:space="preserve"> and </w:t>
      </w:r>
      <w:r>
        <w:rPr>
          <w:rFonts w:ascii="Times New Roman" w:hAnsi="Times New Roman"/>
          <w:b/>
          <w:sz w:val="20"/>
        </w:rPr>
        <w:t>(q)</w:t>
      </w:r>
      <w:r>
        <w:rPr>
          <w:rFonts w:ascii="Times New Roman" w:hAnsi="Times New Roman"/>
          <w:sz w:val="20"/>
        </w:rPr>
        <w:t xml:space="preserve">), to the extent that the aggregate amount of Net Cash Proceeds received by the Issuer and its Subsidiaries (and not paid to the Administrative Agent as a redemption of the Notes) in respect of all such Casualty Events or Asset Sales, when taken together, exceeds $3,000,000 in any fiscal year, the Issuer shall apply an amount equal to one hundred percent (100%) of the Net Cash Proceeds received by the Issuer or any of its Subsidiaries with respect to such Casualty Event or Asset Sale, as the case may be, with such amount of Net Cash Proceeds being allocated, to (i) the redemption of principal outstanding under the Notes, (ii) the payment of accrued and unpaid interest on such principal amount of the Notes being prepaid, and (iii) the payment of the applicable portion of the Early Redemption Fee being paid. Such Net Cash Proceeds shall be allocated to such redemption and payments such that the full amount of the applicable Early Redemption Price shall be paid with such Net Cash Proceeds. Notwithstanding the foregoing, so long as no Event of Default shall have occurred and is continuing or shall immediately result therefrom, if, within seven (7) Business Days following the receipt of such Net Cash Proceeds, a Responsible Officer of the Issuer delivers to the Administrative Agent a written notice to the effect that the Issuer or the applicable Subsidiary intends to apply the Net Cash Proceeds from such Casualty Event or Asset Sale to reinvest, repair, refurbish, restore or rebuild, as applicable, the assets subject to such Casualty Event or to reinvest in long-term assets, in the case of an Asset Sale, then such Net Cash Proceeds may be applied for such purpose in lieu of such mandatory redemption otherwise required pursuant to this </w:t>
      </w:r>
      <w:r>
        <w:rPr>
          <w:rFonts w:ascii="Times New Roman" w:hAnsi="Times New Roman"/>
          <w:b/>
          <w:sz w:val="20"/>
        </w:rPr>
        <w:t>clause (b)</w:t>
      </w:r>
      <w:r>
        <w:rPr>
          <w:rFonts w:ascii="Times New Roman" w:hAnsi="Times New Roman"/>
          <w:sz w:val="20"/>
        </w:rPr>
        <w:t xml:space="preserve"> to the extent such Net Cash Proceeds of such Casualty Event or Asset Sale are actually applied for such purpose;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such Casualty Event or Asset Sale occurs with respect to an Obligor, such reinvestment shall be made in the business of an Obligor;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in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Net Cash Proceeds have not been so applied within one hundred eighty (180) days following the receipt of such Net Cash Proceeds (such period, the “</w:t>
      </w:r>
      <w:r>
        <w:rPr>
          <w:rFonts w:ascii="Times New Roman" w:hAnsi="Times New Roman"/>
          <w:b/>
          <w:i/>
          <w:sz w:val="20"/>
        </w:rPr>
        <w:t>Reinvestment Period</w:t>
      </w:r>
      <w:r>
        <w:rPr>
          <w:rFonts w:ascii="Times New Roman" w:hAnsi="Times New Roman"/>
          <w:sz w:val="20"/>
        </w:rPr>
        <w:t xml:space="preserve">”) (or, if the Issuer or any of its Subsidiaries has entered into a binding commitment prior to the last day of such Reinvestment Period to reinvest such periods no later than one hundred and eighty five days (185) days following the last day of the Reinvestment Period, one hundred and eighty five days after the expiry of the applicable Reinvestment Period), the Issuer shall make a mandatory redemption of the Notes in an aggregate amount equal to one hundred percent (100%) of the unused balance of such Net Cash Proceeds received by the Issuer or any of its Subsidiaries with respect to such Casualty Event or Asset Sale, as the case may be, together with payment of accrued and unpaid interest on the principal amount of the Notes being so prepaid and the applicable Early Redemption Fee, with such amount of Net Cash Proceeds being allocated to the redemption of principal, the payment of accrued and unpaid interest on such principal amount of the Notes being redeemed and the payment of the applicable portion of the Early Redemption Fee being paid such that the full payable with respect to such mandatory redemption is paid with such unused balance of Net Cash Proceeds. Notwithstanding the foregoing, in respect of a Casualty Event relating to a Material Real Property or Future Acquired Material Real Property, to the extent required by the basis of settlement under any policy of insurance relating to that Material Real Property or Future Acquired Material Real Property or pursuant to the terms of any lease under which the Issuer or any of its Subsidiaries holds an interest in that Material Real Property or Future Acquired Material Real Property, the Issuer or the applicable Subsidiary shall apply moneys received under any policy of insurance in respect of that Material Real Property or Future Acquired Material Real Property towards replacing, restoring or reinstating that Material Real Property or Future Acquired Material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upon receipt by any Obligor or any of its Subsidiaries of proceeds from any issuance, incurrence or assumption of Indebtedness other than Indebtedness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on or after the Closing Date, the Issuer shall apply 100% of the cash proceeds received from the issuance, incurrence or assumption of such Indebtedness, with such amount of cash proceeds being allocated to (i) the redemption of principal outstanding under the Notes, (ii) the payment of accrued and unpaid interest on such principal amount of the Notes being prepaid, and (iii) the payment of the applicable portion of the Early Redemption Fee being paid. </w:t>
      </w:r>
    </w:p>
    <w:p>
      <w:pPr>
        <w:pStyle w:val="TextBody"/>
        <w:bidi w:val="0"/>
        <w:spacing w:before="120" w:after="0"/>
        <w:jc w:val="left"/>
        <w:rPr>
          <w:rFonts w:ascii="Times New Roman" w:hAnsi="Times New Roman"/>
          <w:sz w:val="20"/>
        </w:rPr>
      </w:pPr>
      <w:r>
        <w:rPr>
          <w:rFonts w:ascii="Times New Roman" w:hAnsi="Times New Roman"/>
          <w:sz w:val="20"/>
        </w:rPr>
        <w:t xml:space="preserve">(iii) Upon the occurrence of any Change of Control, the Issuer shall redeem all of the principal outstanding under the Notes, together with all accrued and unpaid interest on the Notes and the applicable Early Redemption Fee. </w:t>
      </w:r>
    </w:p>
    <w:p>
      <w:pPr>
        <w:pStyle w:val="TextBody"/>
        <w:bidi w:val="0"/>
        <w:spacing w:before="120" w:after="0"/>
        <w:jc w:val="left"/>
        <w:rPr>
          <w:rFonts w:ascii="Times New Roman" w:hAnsi="Times New Roman"/>
          <w:sz w:val="20"/>
        </w:rPr>
      </w:pPr>
      <w:r>
        <w:rPr>
          <w:rFonts w:ascii="Times New Roman" w:hAnsi="Times New Roman"/>
          <w:sz w:val="20"/>
        </w:rPr>
        <w:t xml:space="preserve">(iv) The Issuer shall notify the Administrative Agent not later than 2:00 p.m. on a date not less than three (3) nor more than five (5) Business Days prior to any mandatory redemption (or such shorter period agreed to by the Administrative Agent). Each notice of mandatory redemption shall specify the proposed redemption date, the Early Redemption Price, and the subsection under which the redemption is required.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Early Redemption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any redemption of Notes is made hereunder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3.03(a)</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3.03(b)</w:t>
      </w:r>
      <w:r>
        <w:rPr>
          <w:rFonts w:ascii="Times New Roman" w:hAnsi="Times New Roman"/>
          <w:sz w:val="20"/>
        </w:rPr>
        <w:t xml:space="preserve">, acceleration or otherwise, the applicable portion of the Early Redemption Fee being paid shall be due and payable in full in cash on the applicable Early Redemption Date for such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Without limiting the generality of the foregoing, it is understood and agreed that if the Obligations are accelerated for any reason, including because of default, sale, disposition or encumbrance (including that by operation of law or otherwise) or automatic acceleration as a result of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11.01(i)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11.01(j)</w:t>
      </w:r>
      <w:r>
        <w:rPr>
          <w:rFonts w:ascii="Times New Roman" w:hAnsi="Times New Roman"/>
          <w:sz w:val="20"/>
        </w:rPr>
        <w:t xml:space="preserve">, the Early Redemption Fee, if any, determined as of the date of acceleration will also be due and payable as though said Indebtedness was voluntarily prepaid as of such date and shall constitute part of the Obligations, in view of the impracticability and extreme difficulty of ascertaining actual damages and by mutual agreement of the parties as to a reasonable calculation of each Noteholder’s lost profits as a result thereof. Any Early Redemption Fee payable in accordance with the immediately preceding sentence shall be presumed to be the liquidated damages sustained by each Noteholder as the result of the early termination and the Issuer agrees that it is reasonable under the circumstances currently existing. The Early Redemption Fee, if any, shall also be payable in the event the Obligations (and/or this Agreement or the Notes evidencing the Obligations) are satisfied or released by foreclosure (whether by power of judicial proceeding), deed in lieu of foreclosure or by any other means. THE ISSUER EXPRESSLY WAIVES THE PROVISIONS OF ANY PRESENT OR FUTURE STATUTE OR LAW THAT PROHIBITS OR MAY PROHIBIT THE COLLECTION OF THE FOREGOING EARLY REDEMPTION FEE IN CONNECTION WITH ANY SUCH ACCELERATION. The Issuer expressly agrees that: (A) the Early Redemption Fee is reasonable and is the product of an arm’s length transaction between sophisticated business people, ably represented by counsel; (B) the Early Redemption Fee shall be payable notwithstanding the then prevailing market rates at the time payment is made; (C) there has been a course of conduct among the Noteholders and the Issuer giving specific consideration in this transaction for such agreement to pay the Early Redemption Fee; and (D) the Issuer shall be estopped hereafter from claiming differently than as agreed to in this paragraph. The Issuer expressly acknowledges that its agreement to pay the Early Redemption Fee to the Noteholders as herein described is a material inducement for the Noteholders to provide the Commitments and purchase the Notes.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Application</w:t>
      </w:r>
      <w:r>
        <w:rPr>
          <w:rFonts w:ascii="Times New Roman" w:hAnsi="Times New Roman"/>
          <w:sz w:val="20"/>
        </w:rPr>
        <w:t xml:space="preserve">. Proceeds of any redemption made pursuant to </w:t>
      </w:r>
      <w:r>
        <w:rPr>
          <w:rFonts w:ascii="Times New Roman" w:hAnsi="Times New Roman"/>
          <w:b/>
          <w:sz w:val="20"/>
        </w:rPr>
        <w:t>clauses</w:t>
      </w:r>
      <w:r>
        <w:rPr>
          <w:rFonts w:ascii="Times New Roman" w:hAnsi="Times New Roman"/>
          <w:sz w:val="20"/>
        </w:rPr>
        <w:t> </w:t>
      </w:r>
      <w:r>
        <w:rPr>
          <w:rFonts w:ascii="Times New Roman" w:hAnsi="Times New Roman"/>
          <w:b/>
          <w:sz w:val="20"/>
        </w:rPr>
        <w:t>(a)</w:t>
      </w:r>
      <w:r>
        <w:rPr>
          <w:rFonts w:ascii="Times New Roman" w:hAnsi="Times New Roman"/>
          <w:sz w:val="20"/>
        </w:rPr>
        <w:t xml:space="preserve"> or </w:t>
      </w:r>
      <w:r>
        <w:rPr>
          <w:rFonts w:ascii="Times New Roman" w:hAnsi="Times New Roman"/>
          <w:b/>
          <w:sz w:val="20"/>
        </w:rPr>
        <w:t>(b)</w:t>
      </w:r>
      <w:r>
        <w:rPr>
          <w:rFonts w:ascii="Times New Roman" w:hAnsi="Times New Roman"/>
          <w:sz w:val="20"/>
        </w:rPr>
        <w:t xml:space="preserve"> above shall be applied in the following order of priority, with proceeds being applied to a succeeding level of priority only if amounts owing pursuant to the immediately preceding level of priority have been paid in full in cash; </w:t>
      </w:r>
      <w:r>
        <w:rPr>
          <w:rFonts w:ascii="Times New Roman" w:hAnsi="Times New Roman"/>
          <w:sz w:val="20"/>
          <w:u w:val="single"/>
        </w:rPr>
        <w:t>provided</w:t>
      </w:r>
      <w:r>
        <w:rPr>
          <w:rFonts w:ascii="Times New Roman" w:hAnsi="Times New Roman"/>
          <w:sz w:val="20"/>
        </w:rPr>
        <w:t xml:space="preserve"> that all such redemptions made to Noteholders shall be applied pro rata in accordance with their respective Proportionate Shares: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first</w:t>
      </w:r>
      <w:r>
        <w:rPr>
          <w:rFonts w:ascii="Times New Roman" w:hAnsi="Times New Roman"/>
          <w:sz w:val="20"/>
        </w:rPr>
        <w:t xml:space="preserve">, to the payment of that portion of the Obligations payable to the Administrative Agent constituting fees, indemnities, costs, expenses, and other amounts then due and owing (including costs, Losses and fees and disbursements and other charges of counsel payable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second</w:t>
      </w:r>
      <w:r>
        <w:rPr>
          <w:rFonts w:ascii="Times New Roman" w:hAnsi="Times New Roman"/>
          <w:sz w:val="20"/>
        </w:rPr>
        <w:t xml:space="preserve">, to the payment of that portion of the Obligations payable to the Noteholders constituting fees (other than any Early Redemption Fee), indemnities, expenses, and other amounts then due and owing (including fees and disbursements and other charges of counsel payable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ratably among them in proportion to the respective amounts described in this </w:t>
      </w:r>
      <w:r>
        <w:rPr>
          <w:rFonts w:ascii="Times New Roman" w:hAnsi="Times New Roman"/>
          <w:b/>
          <w:sz w:val="20"/>
        </w:rPr>
        <w:t>clause (ii)</w:t>
      </w:r>
      <w:r>
        <w:rPr>
          <w:rFonts w:ascii="Times New Roman" w:hAnsi="Times New Roman"/>
          <w:sz w:val="20"/>
        </w:rPr>
        <w:t xml:space="preserve"> payable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third</w:t>
      </w:r>
      <w:r>
        <w:rPr>
          <w:rFonts w:ascii="Times New Roman" w:hAnsi="Times New Roman"/>
          <w:sz w:val="20"/>
        </w:rPr>
        <w:t xml:space="preserve">, to the payment of any accrued and unpaid interest and any fees then due and owing;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fourth</w:t>
      </w:r>
      <w:r>
        <w:rPr>
          <w:rFonts w:ascii="Times New Roman" w:hAnsi="Times New Roman"/>
          <w:sz w:val="20"/>
        </w:rPr>
        <w:t xml:space="preserve">, to the redemption of unpaid principal of the Notes of the Noteholders at par;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fifth</w:t>
      </w:r>
      <w:r>
        <w:rPr>
          <w:rFonts w:ascii="Times New Roman" w:hAnsi="Times New Roman"/>
          <w:sz w:val="20"/>
        </w:rPr>
        <w:t xml:space="preserve">, to the payment of any Early Redemption Fee then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sixth</w:t>
      </w:r>
      <w:r>
        <w:rPr>
          <w:rFonts w:ascii="Times New Roman" w:hAnsi="Times New Roman"/>
          <w:sz w:val="20"/>
        </w:rPr>
        <w:t xml:space="preserve">, to the payment in full of all other Obligations then due and payable to the Administrative Agent and the Noteholders, ratably among them in proportion to the respective amounts described in this </w:t>
      </w:r>
      <w:r>
        <w:rPr>
          <w:rFonts w:ascii="Times New Roman" w:hAnsi="Times New Roman"/>
          <w:b/>
          <w:sz w:val="20"/>
        </w:rPr>
        <w:t>clause (vi)</w:t>
      </w:r>
      <w:r>
        <w:rPr>
          <w:rFonts w:ascii="Times New Roman" w:hAnsi="Times New Roman"/>
          <w:sz w:val="20"/>
        </w:rPr>
        <w:t xml:space="preserve"> payable to them; and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seventh</w:t>
      </w:r>
      <w:r>
        <w:rPr>
          <w:rFonts w:ascii="Times New Roman" w:hAnsi="Times New Roman"/>
          <w:sz w:val="20"/>
        </w:rPr>
        <w:t xml:space="preserve">, to the Issuer or such other Persons as may lawfully be entitled to or directed by the Issuer to receive the remainder.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4 </w:t>
      </w:r>
    </w:p>
    <w:p>
      <w:pPr>
        <w:pStyle w:val="TextBody"/>
        <w:bidi w:val="0"/>
        <w:spacing w:before="0" w:after="0"/>
        <w:jc w:val="center"/>
        <w:rPr>
          <w:rFonts w:ascii="Times New Roman" w:hAnsi="Times New Roman"/>
          <w:b/>
          <w:sz w:val="20"/>
        </w:rPr>
      </w:pPr>
      <w:r>
        <w:rPr>
          <w:rFonts w:ascii="Times New Roman" w:hAnsi="Times New Roman"/>
          <w:b/>
          <w:sz w:val="20"/>
        </w:rPr>
        <w:t xml:space="preserve">PAYMENTS, ETC. </w:t>
      </w:r>
    </w:p>
    <w:p>
      <w:pPr>
        <w:pStyle w:val="TextBody"/>
        <w:bidi w:val="0"/>
        <w:spacing w:before="240" w:after="0"/>
        <w:jc w:val="left"/>
        <w:rPr>
          <w:rFonts w:ascii="Times New Roman" w:hAnsi="Times New Roman"/>
          <w:sz w:val="20"/>
        </w:rPr>
      </w:pPr>
      <w:r>
        <w:rPr>
          <w:rFonts w:ascii="Times New Roman" w:hAnsi="Times New Roman"/>
          <w:b/>
          <w:sz w:val="20"/>
        </w:rPr>
        <w:t>4.01</w:t>
      </w:r>
      <w:r>
        <w:rPr>
          <w:rFonts w:ascii="Times New Roman" w:hAnsi="Times New Roman"/>
          <w:sz w:val="20"/>
        </w:rPr>
        <w:t xml:space="preserve"> </w:t>
      </w:r>
      <w:r>
        <w:rPr>
          <w:rFonts w:ascii="Times New Roman" w:hAnsi="Times New Roman"/>
          <w:b/>
          <w:sz w:val="20"/>
        </w:rPr>
        <w:t>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Payments Generally</w:t>
      </w:r>
      <w:r>
        <w:rPr>
          <w:rFonts w:ascii="Times New Roman" w:hAnsi="Times New Roman"/>
          <w:sz w:val="20"/>
        </w:rPr>
        <w:t xml:space="preserve">. Each payment of principal, interest and other amounts to be made by the Obligors under this Agreement or any other Notes Document shall be made (i) in Dollars in cash, in immediately available funds, without deduction, set off or counterclaim, to the applicable Noteholder to which such payment is owed, to the deposit account of such Noteholder designated by it by notice to the Issuer, and (ii) not later than 2:00 p.m. on the date on which such payment is due (each such payment made after such time on such due date shall be deemed to have been made on the next succeeding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Application of Payments</w:t>
      </w:r>
      <w:r>
        <w:rPr>
          <w:rFonts w:ascii="Times New Roman" w:hAnsi="Times New Roman"/>
          <w:sz w:val="20"/>
        </w:rPr>
        <w:t xml:space="preserve">. All such payments referenced in </w:t>
      </w:r>
      <w:r>
        <w:rPr>
          <w:rFonts w:ascii="Times New Roman" w:hAnsi="Times New Roman"/>
          <w:b/>
          <w:sz w:val="20"/>
        </w:rPr>
        <w:t>clause</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above (other than fees payable pursuant to the Fee Letter) shall be applied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3.03(d)</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Non-Business Days</w:t>
      </w:r>
      <w:r>
        <w:rPr>
          <w:rFonts w:ascii="Times New Roman" w:hAnsi="Times New Roman"/>
          <w:sz w:val="20"/>
        </w:rPr>
        <w:t xml:space="preserve">. If the due date of any payment under this Agreement (whether in respect of principal, interest, fees, costs or otherwise) would otherwise fall on a day that is not a Business Day, such date shall be extended to the next succeeding Business Day; </w:t>
      </w:r>
      <w:r>
        <w:rPr>
          <w:rFonts w:ascii="Times New Roman" w:hAnsi="Times New Roman"/>
          <w:sz w:val="20"/>
          <w:u w:val="single"/>
        </w:rPr>
        <w:t>provided</w:t>
      </w:r>
      <w:r>
        <w:rPr>
          <w:rFonts w:ascii="Times New Roman" w:hAnsi="Times New Roman"/>
          <w:sz w:val="20"/>
        </w:rPr>
        <w:t xml:space="preserve"> that if such next succeeding Business Day would fall after the Maturity Date, payment shall be made on the immediately preceding Business Day. </w:t>
      </w:r>
    </w:p>
    <w:p>
      <w:pPr>
        <w:pStyle w:val="TextBody"/>
        <w:bidi w:val="0"/>
        <w:spacing w:before="120" w:after="0"/>
        <w:jc w:val="left"/>
        <w:rPr>
          <w:rFonts w:ascii="Times New Roman" w:hAnsi="Times New Roman"/>
          <w:sz w:val="20"/>
        </w:rPr>
      </w:pPr>
      <w:r>
        <w:rPr>
          <w:rFonts w:ascii="Times New Roman" w:hAnsi="Times New Roman"/>
          <w:b/>
          <w:sz w:val="20"/>
        </w:rPr>
        <w:t>4.02</w:t>
      </w:r>
      <w:r>
        <w:rPr>
          <w:rFonts w:ascii="Times New Roman" w:hAnsi="Times New Roman"/>
          <w:sz w:val="20"/>
        </w:rPr>
        <w:t xml:space="preserve"> </w:t>
      </w:r>
      <w:r>
        <w:rPr>
          <w:rFonts w:ascii="Times New Roman" w:hAnsi="Times New Roman"/>
          <w:b/>
          <w:sz w:val="20"/>
        </w:rPr>
        <w:t>Computations</w:t>
      </w:r>
      <w:r>
        <w:rPr>
          <w:rFonts w:ascii="Times New Roman" w:hAnsi="Times New Roman"/>
          <w:sz w:val="20"/>
        </w:rPr>
        <w:t xml:space="preserve">. All computations of interest and fees hereunder shall be computed on the basis of a year of three hundred and sixty (360) days and actual days elapsed during the period for which payable. </w:t>
      </w:r>
    </w:p>
    <w:p>
      <w:pPr>
        <w:pStyle w:val="TextBody"/>
        <w:bidi w:val="0"/>
        <w:spacing w:before="120" w:after="0"/>
        <w:jc w:val="left"/>
        <w:rPr>
          <w:rFonts w:ascii="Times New Roman" w:hAnsi="Times New Roman"/>
          <w:sz w:val="20"/>
        </w:rPr>
      </w:pPr>
      <w:r>
        <w:rPr>
          <w:rFonts w:ascii="Times New Roman" w:hAnsi="Times New Roman"/>
          <w:b/>
          <w:sz w:val="20"/>
        </w:rPr>
        <w:t>4.03</w:t>
      </w:r>
      <w:r>
        <w:rPr>
          <w:rFonts w:ascii="Times New Roman" w:hAnsi="Times New Roman"/>
          <w:sz w:val="20"/>
        </w:rPr>
        <w:t xml:space="preserve"> </w:t>
      </w:r>
      <w:r>
        <w:rPr>
          <w:rFonts w:ascii="Times New Roman" w:hAnsi="Times New Roman"/>
          <w:b/>
          <w:sz w:val="20"/>
        </w:rPr>
        <w:t>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Set-Off Generally</w:t>
      </w:r>
      <w:r>
        <w:rPr>
          <w:rFonts w:ascii="Times New Roman" w:hAnsi="Times New Roman"/>
          <w:sz w:val="20"/>
        </w:rPr>
        <w:t xml:space="preserve">. Upon the occurrence and during the continuance of any Event of Default, the Administrative Agent, each of the Noteholders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the Administrative Agent,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Noteholder to or for the credit or the account of any Obligor against any and all of the Obligations, whether or not such Person shall have made any demand and although such obligations may be unmatured. Any Person exercising rights of set off hereunder agrees to promptly notify the Issuer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the Administrative Agent, the Noteholders under this </w:t>
      </w: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are in addition to other rights and remedies (including other rights of set-off) that such Persons may have.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Exercise of Rights Not Required</w:t>
      </w:r>
      <w:r>
        <w:rPr>
          <w:rFonts w:ascii="Times New Roman" w:hAnsi="Times New Roman"/>
          <w:sz w:val="20"/>
        </w:rPr>
        <w:t xml:space="preserve">. Nothing contained in </w:t>
      </w:r>
      <w:r>
        <w:rPr>
          <w:rFonts w:ascii="Times New Roman" w:hAnsi="Times New Roman"/>
          <w:b/>
          <w:sz w:val="20"/>
        </w:rPr>
        <w:t>Section</w:t>
      </w:r>
      <w:r>
        <w:rPr>
          <w:rFonts w:ascii="Times New Roman" w:hAnsi="Times New Roman"/>
          <w:sz w:val="20"/>
        </w:rPr>
        <w:t> </w:t>
      </w:r>
      <w:r>
        <w:rPr>
          <w:rFonts w:ascii="Times New Roman" w:hAnsi="Times New Roman"/>
          <w:b/>
          <w:sz w:val="20"/>
        </w:rPr>
        <w:t>4.03(a)</w:t>
      </w:r>
      <w:r>
        <w:rPr>
          <w:rFonts w:ascii="Times New Roman" w:hAnsi="Times New Roman"/>
          <w:sz w:val="20"/>
        </w:rPr>
        <w:t xml:space="preserve"> shall require the Administrative Agent or any Noteholder to exercise any such right or shall affect the right of such Persons to exercise, and retain the benefits of exercising, any such right with respect to any other indebtedness or obligation of any Obligor.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Payments Set Aside</w:t>
      </w:r>
      <w:r>
        <w:rPr>
          <w:rFonts w:ascii="Times New Roman" w:hAnsi="Times New Roman"/>
          <w:sz w:val="20"/>
        </w:rPr>
        <w:t xml:space="preserve">. To the extent that any payment by or on behalf of any Obligor is made to the Administrative Agent or any Noteholder, or the Administrative Agent, any Noteholder or any Affiliate of the foregoing exercises its right of setoff, and such payment or the proceeds of such setoff or any part thereof is subsequently invalidated, declared to be fraudulent, or preferential, set aside or required (including pursuant to any settlement entered into by the Administrative Agent, such Noteholder or such Affiliate in its discretion) to be repaid to a trustee, receiver, examiner or any other party, in connection with any Insolvency Proceeding or otherwise, then to the extent of such recovery, the obligation or part thereof originally intended to be satisfied shall be revived and continued in full force and effect as if such payment had not been made or such setoff had not occurred.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5 </w:t>
      </w:r>
    </w:p>
    <w:p>
      <w:pPr>
        <w:pStyle w:val="TextBody"/>
        <w:bidi w:val="0"/>
        <w:spacing w:before="0" w:after="0"/>
        <w:jc w:val="center"/>
        <w:rPr>
          <w:rFonts w:ascii="Times New Roman" w:hAnsi="Times New Roman"/>
          <w:b/>
          <w:sz w:val="20"/>
        </w:rPr>
      </w:pPr>
      <w:r>
        <w:rPr>
          <w:rFonts w:ascii="Times New Roman" w:hAnsi="Times New Roman"/>
          <w:b/>
          <w:sz w:val="20"/>
        </w:rPr>
        <w:t xml:space="preserve">YIELD PROTECTION, ETC. </w:t>
      </w:r>
    </w:p>
    <w:p>
      <w:pPr>
        <w:pStyle w:val="TextBody"/>
        <w:bidi w:val="0"/>
        <w:spacing w:before="240" w:after="0"/>
        <w:jc w:val="left"/>
        <w:rPr>
          <w:rFonts w:ascii="Times New Roman" w:hAnsi="Times New Roman"/>
          <w:sz w:val="20"/>
        </w:rPr>
      </w:pPr>
      <w:r>
        <w:rPr>
          <w:rFonts w:ascii="Times New Roman" w:hAnsi="Times New Roman"/>
          <w:b/>
          <w:sz w:val="20"/>
        </w:rPr>
        <w:t>5.01</w:t>
      </w:r>
      <w:r>
        <w:rPr>
          <w:rFonts w:ascii="Times New Roman" w:hAnsi="Times New Roman"/>
          <w:sz w:val="20"/>
        </w:rPr>
        <w:t xml:space="preserve"> </w:t>
      </w:r>
      <w:r>
        <w:rPr>
          <w:rFonts w:ascii="Times New Roman" w:hAnsi="Times New Roman"/>
          <w:b/>
          <w:sz w:val="20"/>
        </w:rPr>
        <w:t>Additional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Changes in Law Generally</w:t>
      </w:r>
      <w:r>
        <w:rPr>
          <w:rFonts w:ascii="Times New Roman" w:hAnsi="Times New Roman"/>
          <w:sz w:val="20"/>
        </w:rPr>
        <w:t xml:space="preserve">. If, on or after the Closing Date (or, with respect to any Noteholder, such later date on which such Noteholder becomes party to this Agreement), the adoption of any Law, or any change in any applicable Law, or any change in the interpretation or administration thereof by any court or other Governmental Authority charged with the interpretation or administration thereof, or compliance by the Administrative Agent or any of the Noteholders (or the office to which any of its Notes are booked)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Closing Date (or, with respect to any Noteholder, such later date on which such Noteholder becomes party to this Agreement) against assets of, deposits with or for the account of, or credit extended by, a Noteholder (or its office to which any of its Notes are booked) or other Recipient or shall impose on a Noteholder (or the office to which any of its Notes are booked) or other Recipient any other condition affecting the Notes or the Commitment, and the result of any of the foregoing is to increase the cost to such Noteholder or such other Recipient of making or maintaining the Notes, or to reduce the amount of any sum received or receivable by such Noteholder or other Recipient under this Agreement or any other Notes Document, or subject any Noteholder to any Taxes on its Notes, Commitment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obligations, or its deposits, reserves, other liabilities or capital (if any) attributable thereto by an amount reasonably deemed by such Noteholder in good faith to be material (other than (i) Indemnified Taxes, (ii) Taxes described in </w:t>
      </w:r>
      <w:r>
        <w:rPr>
          <w:rFonts w:ascii="Times New Roman" w:hAnsi="Times New Roman"/>
          <w:b/>
          <w:sz w:val="20"/>
        </w:rPr>
        <w:t xml:space="preserve">clause (b), (c) </w:t>
      </w:r>
      <w:r>
        <w:rPr>
          <w:rFonts w:ascii="Times New Roman" w:hAnsi="Times New Roman"/>
          <w:sz w:val="20"/>
        </w:rPr>
        <w:t xml:space="preserve">and </w:t>
      </w:r>
      <w:r>
        <w:rPr>
          <w:rFonts w:ascii="Times New Roman" w:hAnsi="Times New Roman"/>
          <w:b/>
          <w:sz w:val="20"/>
        </w:rPr>
        <w:t>(d)</w:t>
      </w:r>
      <w:r>
        <w:rPr>
          <w:rFonts w:ascii="Times New Roman" w:hAnsi="Times New Roman"/>
          <w:sz w:val="20"/>
        </w:rPr>
        <w:t> of the definition of “</w:t>
      </w:r>
      <w:r>
        <w:rPr>
          <w:rFonts w:ascii="Times New Roman" w:hAnsi="Times New Roman"/>
          <w:b/>
          <w:sz w:val="20"/>
        </w:rPr>
        <w:t>Excluded Taxes</w:t>
      </w:r>
      <w:r>
        <w:rPr>
          <w:rFonts w:ascii="Times New Roman" w:hAnsi="Times New Roman"/>
          <w:sz w:val="20"/>
        </w:rPr>
        <w:t xml:space="preserve">”, (iii) Connection Income Taxes, and (iv) any Bank Levy or any payment attributable to, or liability arising as a consequence of, a Bank Levy), then the Issuer shall pay to such Noteholder within three (3) Business Days after written demand such additional amount or amounts as will compensate such Noteholder for such increased cost or reduction.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Change in Capital Requirements</w:t>
      </w:r>
      <w:r>
        <w:rPr>
          <w:rFonts w:ascii="Times New Roman" w:hAnsi="Times New Roman"/>
          <w:sz w:val="20"/>
        </w:rPr>
        <w:t xml:space="preserve">. If a Noteholder shall have determined that, on or after the Closing Date (or, with respect to any Noteholder, such later date on which such Noteholder becomes party to this Agreement), the adoption of any applicable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Closing Date (or, with respect to any Noteholder, such later date on which such Noteholder becomes party to this Agreement), has or would have the effect of reducing the rate of return on capital of a Noteholder (or its parent) as a consequence of a Noteholder’s obligations hereunder or the Notes to a level below that which a Noteholder (or its parent) could have achieved but for such adoption, change, request or directive by an amount reasonably deemed by it to be material, then the Issuer shall pay to such Noteholder on demand such additional amount or amounts as will compensate such Noteholder (or its parent) for such reduction.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Notification by Noteholder</w:t>
      </w:r>
      <w:r>
        <w:rPr>
          <w:rFonts w:ascii="Times New Roman" w:hAnsi="Times New Roman"/>
          <w:sz w:val="20"/>
        </w:rPr>
        <w:t xml:space="preserve">. Each Noteholder shall promptly notify the Issuer of any event of which it has knowledge, occurring after the Closing Date (or, with respect to any Noteholder, such later date on which such Noteholder becomes party to this Agreement), which will entitle such Noteholder to compensation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Before giving any such notice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5.01(c)</w:t>
      </w:r>
      <w:r>
        <w:rPr>
          <w:rFonts w:ascii="Times New Roman" w:hAnsi="Times New Roman"/>
          <w:sz w:val="20"/>
        </w:rPr>
        <w:t xml:space="preserve"> such Noteholder shall designate a different office for booking its Notes if such designation (x) will, in the reasonable judgment of such Noteholder, avoid the need for, or reduce the amount of, such compensation and (y) will not, in the reasonable judgment of such Noteholder, be materially disadvantageous to such Noteholder. A certificate of such Noteholder claiming compensation under this </w:t>
      </w: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setting forth in reasonable detail the additional amount or amounts to be paid to it hereunder and also setting forth in reasonable detail the basis for calculating the additional amounts claimed to be owed to such Noteholder, shall be conclusive and binding on the Issuer in the absence of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Delays in Requests</w:t>
      </w:r>
      <w:r>
        <w:rPr>
          <w:rFonts w:ascii="Times New Roman" w:hAnsi="Times New Roman"/>
          <w:sz w:val="20"/>
        </w:rPr>
        <w:t xml:space="preserve">. Failure or delay on the part of any Noteholder to demand compensation pursuant to the foregoing provisions of this Section shall not constitute a waiver of such Noteholder’s right to demand such compensation; </w:t>
      </w:r>
      <w:r>
        <w:rPr>
          <w:rFonts w:ascii="Times New Roman" w:hAnsi="Times New Roman"/>
          <w:sz w:val="20"/>
          <w:u w:val="single"/>
        </w:rPr>
        <w:t>provided</w:t>
      </w:r>
      <w:r>
        <w:rPr>
          <w:rFonts w:ascii="Times New Roman" w:hAnsi="Times New Roman"/>
          <w:sz w:val="20"/>
        </w:rPr>
        <w:t xml:space="preserve"> that the Issuer shall not be required to compensate a Noteholder pursuant to the foregoing provisions of this Section for any increased costs unless the Noteholder notifies the Issuer within ninety (90) days following the receipt by such Noteholder of its audited annual financial statements of the change in Law giving rise to such increased costs or reductions and of such Noteholder’s intention to claim compensation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Other Changes</w:t>
      </w:r>
      <w:r>
        <w:rPr>
          <w:rFonts w:ascii="Times New Roman" w:hAnsi="Times New Roman"/>
          <w:sz w:val="20"/>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regardless of the date enacted, adopted or issued. </w:t>
      </w:r>
    </w:p>
    <w:p>
      <w:pPr>
        <w:pStyle w:val="TextBody"/>
        <w:bidi w:val="0"/>
        <w:spacing w:before="120" w:after="0"/>
        <w:jc w:val="left"/>
        <w:rPr>
          <w:rFonts w:ascii="Times New Roman" w:hAnsi="Times New Roman"/>
          <w:sz w:val="20"/>
        </w:rPr>
      </w:pPr>
      <w:r>
        <w:rPr>
          <w:rFonts w:ascii="Times New Roman" w:hAnsi="Times New Roman"/>
          <w:b/>
          <w:sz w:val="20"/>
        </w:rPr>
        <w:t>5.02</w:t>
      </w:r>
      <w:r>
        <w:rPr>
          <w:rFonts w:ascii="Times New Roman" w:hAnsi="Times New Roman"/>
          <w:sz w:val="20"/>
        </w:rPr>
        <w:t xml:space="preserve"> </w:t>
      </w:r>
      <w:r>
        <w:rPr>
          <w:rFonts w:ascii="Times New Roman" w:hAnsi="Times New Roman"/>
          <w:b/>
          <w:sz w:val="20"/>
        </w:rPr>
        <w:t>Illegality</w:t>
      </w:r>
      <w:r>
        <w:rPr>
          <w:rFonts w:ascii="Times New Roman" w:hAnsi="Times New Roman"/>
          <w:sz w:val="20"/>
        </w:rPr>
        <w:t xml:space="preserve">. Notwithstanding any other provision of this Agreement, in the event that on or after the Closing Date (or, with respect to any Noteholder, such later date on which such Noteholder becomes party to this Agreement), the adoption of or any change in any applicable Law or in the interpretation or application thereof by any competent Governmental Authority shall make it unlawful for a Noteholder or the office to which any of its Notes are booked to perform any of its obligations or to subscribe for or maintain its participation in any Note (and, in the opinion of such Noteholder, the designation of a different office for the booking of its Notes would either not avoid such unlawfulness or would be disadvantageous to such Noteholder), then such Noteholder shall promptly notify the Issuer thereof, following which (i) such Noteholder’s Commitment shall be suspended until such time as such Noteholder may again subscribe for and maintain its participation in the Notes hereunder and (ii) if such Law shall so mandate, the Notes shall be redeemed by the Issuer on or before such date as shall be mandated by such Law in an amount equal to the Early Redemption Price applicable on such Early Redemption Date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3.03(a)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5.03</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Payments Free of Taxes</w:t>
      </w:r>
      <w:r>
        <w:rPr>
          <w:rFonts w:ascii="Times New Roman" w:hAnsi="Times New Roman"/>
          <w:sz w:val="20"/>
        </w:rPr>
        <w:t xml:space="preserve">. Any and all payments by or on account of any Obligations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the applicable Recipient receives an amount equal to the sum it would have received had no such deduction or withholding for Indemnified Taxes been made.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of Other Taxes by the Issuer</w:t>
      </w:r>
      <w:r>
        <w:rPr>
          <w:rFonts w:ascii="Times New Roman" w:hAnsi="Times New Roman"/>
          <w:sz w:val="20"/>
        </w:rPr>
        <w:t xml:space="preserve">. The Issuer shall timely pay to the relevant Governmental Authority in accordance with applicable Law, or at the option of the Administrative Agent or each Noteholder, timely reimburse it for the payment of any Other Taxes.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Evidence of Payments</w:t>
      </w:r>
      <w:r>
        <w:rPr>
          <w:rFonts w:ascii="Times New Roman" w:hAnsi="Times New Roman"/>
          <w:sz w:val="20"/>
        </w:rPr>
        <w:t xml:space="preserve">. As soon as reasonably practicable after any payment of Taxes by the Issuer to a Governmental Authority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the Issuer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Indemnification by the Issuer</w:t>
      </w:r>
      <w:r>
        <w:rPr>
          <w:rFonts w:ascii="Times New Roman" w:hAnsi="Times New Roman"/>
          <w:sz w:val="20"/>
        </w:rPr>
        <w:t xml:space="preserve">. The Issuer shall reimburse and indemnify each Recipient, within ten (10) days after demand therefor, for the full amount of any Indemnified Taxes (including Indemnified Taxes imposed or asserted on or attributable to amounts payable under this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but excluding, for the avoidance of doubt, any Indemnified Tax which is suffered or incurred in respect of any Bank Levy, or any payment attributable to, or liability arising as a consequence of, a Bank Levy. A certificate as to the amount of such payment or liability delivered to the Issuer by a Noteholder (with a copy to the Administrative Agent), or by the Administrative Agent on its own behalf or on behalf of a Noteholder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Indemnification by the Noteholders</w:t>
      </w:r>
      <w:r>
        <w:rPr>
          <w:rFonts w:ascii="Times New Roman" w:hAnsi="Times New Roman"/>
          <w:sz w:val="20"/>
        </w:rPr>
        <w:t xml:space="preserve">. Each Noteholder shall severally indemnify the Administrative Agent, within ten (10) days after demand therefor, for (i) any Indemnified Taxes attributable to such Noteholder (but only to the extent that the Issuer has not already indemnified the Administrative Agent for such Indemnified Taxes and without limiting the obligation of the Issuer to do so), (ii) any Taxes attributable to such Noteholder’s failure to comply with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14.05(g)</w:t>
      </w:r>
      <w:r>
        <w:rPr>
          <w:rFonts w:ascii="Times New Roman" w:hAnsi="Times New Roman"/>
          <w:sz w:val="20"/>
        </w:rPr>
        <w:t xml:space="preserve"> relating to the maintenance of a Participant Register, and (iii) any Excluded Taxes attributable to such Noteholder, in each case, that are payable or paid by (or withheld from payments to) the Administrative Agent in connection with any Notes Documents, and any reasonable expenses arising therefrom or with respect thereto, whether or not such Taxes were correctly or legally imposed or asserted by the relevant Governmental Authority. A certificate as to the amount of such payment or liability delivered to any Noteholder by the Administrative Agent shall be conclusive absent manifest error. Each Noteholder hereby authorizes the Administrative Agent to set off and apply any and all amounts at any time owing to such Noteholder under any Notes Documents or otherwise payable by the Administrative Agent to the Noteholder from any other source against any amount due to the Administrative Agent under this </w:t>
      </w:r>
      <w:r>
        <w:rPr>
          <w:rFonts w:ascii="Times New Roman" w:hAnsi="Times New Roman"/>
          <w:b/>
          <w:sz w:val="20"/>
        </w:rPr>
        <w:t>clause (e)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Status of Noteholder</w:t>
      </w:r>
      <w:r>
        <w:rPr>
          <w:rFonts w:ascii="Times New Roman" w:hAnsi="Times New Roman"/>
          <w:sz w:val="20"/>
        </w:rPr>
        <w:t xml:space="preserve">. Any Noteholder that is a successor or assignee of the Original Noteholder and that is entitled to an exemption from or reduction of withholding Tax with respect to payments made under any Notes Documents shall deliver to the Issuer and the Administrative Agent, at the time or times reasonably requested by the Issuer or the Administrative Agent, such properly completed and executed documentation reasonably requested by the Issuer or the Administrative Agent as will permit such payments to be made without withholding or at a reduced rate of withholding. Notwithstanding anything to the contrary in the preceding sentence, the completion, execution and submission of such documentation (other than such documentation set forth in Section 5.03(g)) shall not be required if in such Noteholder’s reasonable judgment such completion, execution or submission would subject such Noteholder to any material unreimbursed cost or expense or would materially prejudice the legal or commercial position of such Noteholder.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 xml:space="preserve">FATCA. </w:t>
      </w:r>
      <w:r>
        <w:rPr>
          <w:rFonts w:ascii="Times New Roman" w:hAnsi="Times New Roman"/>
          <w:sz w:val="20"/>
        </w:rPr>
        <w:t xml:space="preserve">If a payment made to any Noteholder under any Notes Documents would be subject to U.S. federal withholding Tax imposed by FATCA if such Noteholder were to fail to comply with the applicable reporting requirements of FATCA (including those contained in Section 1471(b) or 1472(b) of the Code, as applicable), such Noteholder shall deliver to the Issuer and the Administrative Agent at the time or times prescribed by Law and at such time or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requested by the Issuer or the Administrative Agent such documentation prescribed by applicable Law (including as prescribed by Section 1471(b)(3)(C)(i) of the Code) and such additional documentation reasonably requested by the Issuer or the Administrative Agent as may be necessary for the Issuer and the Administrative Agent to comply with their obligations under FATCA and to determine that such Noteholder has complied with such Noteholder’s obligations under FATCA or to determine the amount, if any, to deduct and withhold from such payment. Solely for purposes of this </w:t>
      </w:r>
      <w:r>
        <w:rPr>
          <w:rFonts w:ascii="Times New Roman" w:hAnsi="Times New Roman"/>
          <w:b/>
          <w:sz w:val="20"/>
        </w:rPr>
        <w:t>clause</w:t>
      </w:r>
      <w:r>
        <w:rPr>
          <w:rFonts w:ascii="Times New Roman" w:hAnsi="Times New Roman"/>
          <w:sz w:val="20"/>
        </w:rPr>
        <w:t> </w:t>
      </w:r>
      <w:r>
        <w:rPr>
          <w:rFonts w:ascii="Times New Roman" w:hAnsi="Times New Roman"/>
          <w:b/>
          <w:sz w:val="20"/>
        </w:rPr>
        <w:t>(g)</w:t>
      </w:r>
      <w:r>
        <w:rPr>
          <w:rFonts w:ascii="Times New Roman" w:hAnsi="Times New Roman"/>
          <w:sz w:val="20"/>
        </w:rPr>
        <w:t>, “</w:t>
      </w:r>
      <w:r>
        <w:rPr>
          <w:rFonts w:ascii="Times New Roman" w:hAnsi="Times New Roman"/>
          <w:b/>
          <w:i/>
          <w:sz w:val="20"/>
        </w:rPr>
        <w:t>FATCA</w:t>
      </w:r>
      <w:r>
        <w:rPr>
          <w:rFonts w:ascii="Times New Roman" w:hAnsi="Times New Roman"/>
          <w:sz w:val="20"/>
        </w:rPr>
        <w:t xml:space="preserve">”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Recipient agrees that if any form or certification it previously delivered expires or becomes obsolete or inaccurate in any respect, it shall update such form or certification or promptly notify the Issuer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Treatment of Certain Tax Benefits</w:t>
      </w:r>
      <w:r>
        <w:rPr>
          <w:rFonts w:ascii="Times New Roman" w:hAnsi="Times New Roman"/>
          <w:sz w:val="20"/>
        </w:rPr>
        <w:t xml:space="preserve">. If any party to this Agreement determines, in its sole discretion exercised in good faith, that it has obtained and utilized a credit against Tax, or has received a refund of any Taxes, that in each case is attributable to any Taxes as to which it has been indemnified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(including by the payment of additional amounts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it shall pay to the indemnifying party an amount equal to the cash Tax payable which has been saved as a result of utilizing such credit against Tax, or refund (but only to the extent of indemnity payments made under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with respect to the Taxes giving rise to such credit or refund), net of all out-of-pocket expenses (including Taxes) of such indemnified party and without interest (other than any interest paid by the relevant Governmental Authority with respect to such credit or refund). Such indemnifying party, upon the request of such indemnified party, shall repay to such indemnified party the amount paid over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(plus any penalties, interest or other charges imposed by the relevant Governmental Authority) in the event that such indemnified party is required to repay an amount in respect of such credit, or such refund, to such Governmental Authority. Notwithstanding anything to the contrary in this </w:t>
      </w:r>
      <w:r>
        <w:rPr>
          <w:rFonts w:ascii="Times New Roman" w:hAnsi="Times New Roman"/>
          <w:b/>
          <w:sz w:val="20"/>
        </w:rPr>
        <w:t>Section</w:t>
      </w:r>
      <w:r>
        <w:rPr>
          <w:rFonts w:ascii="Times New Roman" w:hAnsi="Times New Roman"/>
          <w:sz w:val="20"/>
        </w:rPr>
        <w:t> </w:t>
      </w:r>
      <w:r>
        <w:rPr>
          <w:rFonts w:ascii="Times New Roman" w:hAnsi="Times New Roman"/>
          <w:b/>
          <w:sz w:val="20"/>
        </w:rPr>
        <w:t>5.03(h)</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5.03(h)</w:t>
      </w:r>
      <w:r>
        <w:rPr>
          <w:rFonts w:ascii="Times New Roman" w:hAnsi="Times New Roman"/>
          <w:sz w:val="20"/>
        </w:rPr>
        <w:t xml:space="preserve"> the payment of which would place the indemnified party in a less favorable net after-Tax position than the indemnified party would have been in if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b/>
          <w:sz w:val="20"/>
        </w:rPr>
        <w:t>Section</w:t>
      </w:r>
      <w:r>
        <w:rPr>
          <w:rFonts w:ascii="Times New Roman" w:hAnsi="Times New Roman"/>
          <w:sz w:val="20"/>
        </w:rPr>
        <w:t> </w:t>
      </w:r>
      <w:r>
        <w:rPr>
          <w:rFonts w:ascii="Times New Roman" w:hAnsi="Times New Roman"/>
          <w:b/>
          <w:sz w:val="20"/>
        </w:rPr>
        <w:t>5.03(h)</w:t>
      </w:r>
      <w:r>
        <w:rPr>
          <w:rFonts w:ascii="Times New Roman" w:hAnsi="Times New Roman"/>
          <w:sz w:val="20"/>
        </w:rPr>
        <w:t xml:space="preserve">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Mitigation Obligations</w:t>
      </w:r>
      <w:r>
        <w:rPr>
          <w:rFonts w:ascii="Times New Roman" w:hAnsi="Times New Roman"/>
          <w:sz w:val="20"/>
        </w:rPr>
        <w:t xml:space="preserve">. If the Issuer is required to pay any Indemnified Taxes or additional amounts to any Noteholder or to any Governmental Authority for the account of any Noteholder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or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then such Noteholder shall (at the request of the Issuer) use reasonable efforts to designate a different office for subscribing for or booking its participation in the Notes hereunder or to assign and delegate its rights and obligations hereunder to another of its offices, branches or Affiliates if, in the sole, reasonable judgment of such Noteholder, such designation or assignment and delegation would (i) eliminate or reduce amounts payable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5.01 </w:t>
      </w:r>
      <w:r>
        <w:rPr>
          <w:rFonts w:ascii="Times New Roman" w:hAnsi="Times New Roman"/>
          <w:sz w:val="20"/>
        </w:rPr>
        <w:t xml:space="preserve">or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as the case may be, in the future, (ii) not subject such Noteholder to any unreimbursed cost or expense and (iii) not otherwise be disadvantageous to such Noteholder. The Issuer hereby agrees to pay all reasonable costs and expenses incurred by any Noteholder in connection with any such designation or assignment and delegation.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VAT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amounts expressed to be payable under any Notes Documents by any party to any Secured Party which (in whole or in part) constitute the consideration for a supply or supplies for VAT purposes shall be deemed to be exclusive of any VAT which is chargeable on such supply or supplies, and accordingly, subject to paragraph (ii) below, if VAT is or becomes chargeable on any supply made by any Secured Party to any party under any Notes Documents and: </w:t>
      </w:r>
    </w:p>
    <w:p>
      <w:pPr>
        <w:pStyle w:val="TextBody"/>
        <w:bidi w:val="0"/>
        <w:spacing w:before="120" w:after="0"/>
        <w:jc w:val="left"/>
        <w:rPr>
          <w:rFonts w:ascii="Times New Roman" w:hAnsi="Times New Roman"/>
          <w:sz w:val="20"/>
        </w:rPr>
      </w:pPr>
      <w:r>
        <w:rPr>
          <w:rFonts w:ascii="Times New Roman" w:hAnsi="Times New Roman"/>
          <w:sz w:val="20"/>
        </w:rPr>
        <w:t xml:space="preserve">(A) such Secured Party is required to account to the relevant tax authority for the VAT, that party shall pay to the Secured Party (in addition to and at the same time as paying any other consideration for such supply, if the Secured Party has before that time provided a valid and appropriate VAT invoice to that party, or otherwise promptly after receipt of such a VAT invoice by that party) an amount equal to the amount of such VAT; or </w:t>
      </w:r>
    </w:p>
    <w:p>
      <w:pPr>
        <w:pStyle w:val="TextBody"/>
        <w:bidi w:val="0"/>
        <w:spacing w:before="120" w:after="0"/>
        <w:jc w:val="left"/>
        <w:rPr>
          <w:rFonts w:ascii="Times New Roman" w:hAnsi="Times New Roman"/>
          <w:sz w:val="20"/>
        </w:rPr>
      </w:pPr>
      <w:r>
        <w:rPr>
          <w:rFonts w:ascii="Times New Roman" w:hAnsi="Times New Roman"/>
          <w:sz w:val="20"/>
        </w:rPr>
        <w:t xml:space="preserve">(B) if such party is required to directly account for such VAT under the reverse charge procedure, </w:t>
      </w:r>
    </w:p>
    <w:p>
      <w:pPr>
        <w:pStyle w:val="TextBody"/>
        <w:bidi w:val="0"/>
        <w:spacing w:before="240" w:after="0"/>
        <w:jc w:val="left"/>
        <w:rPr>
          <w:rFonts w:ascii="Times New Roman" w:hAnsi="Times New Roman"/>
          <w:sz w:val="20"/>
        </w:rPr>
      </w:pPr>
      <w:r>
        <w:rPr>
          <w:rFonts w:ascii="Times New Roman" w:hAnsi="Times New Roman"/>
          <w:sz w:val="20"/>
        </w:rPr>
        <w:t xml:space="preserve">the relevant Secured Party must promptly provide an appropriate VAT invoice to such party stating that the amount is charged in respect of a supply that is subject to VAT but that the reverse charge procedure applies and such party shall account for the VAT at the appropriate rate. </w:t>
      </w:r>
    </w:p>
    <w:p>
      <w:pPr>
        <w:pStyle w:val="TextBody"/>
        <w:bidi w:val="0"/>
        <w:spacing w:before="120" w:after="0"/>
        <w:jc w:val="left"/>
        <w:rPr>
          <w:rFonts w:ascii="Times New Roman" w:hAnsi="Times New Roman"/>
          <w:sz w:val="20"/>
        </w:rPr>
      </w:pPr>
      <w:r>
        <w:rPr>
          <w:rFonts w:ascii="Times New Roman" w:hAnsi="Times New Roman"/>
          <w:sz w:val="20"/>
        </w:rPr>
        <w:t>(ii) If VAT is or becomes chargeable on any supply made by any Secured Party (the “</w:t>
      </w:r>
      <w:r>
        <w:rPr>
          <w:rFonts w:ascii="Times New Roman" w:hAnsi="Times New Roman"/>
          <w:b/>
          <w:i/>
          <w:sz w:val="20"/>
        </w:rPr>
        <w:t>VAT Supplier</w:t>
      </w:r>
      <w:r>
        <w:rPr>
          <w:rFonts w:ascii="Times New Roman" w:hAnsi="Times New Roman"/>
          <w:sz w:val="20"/>
        </w:rPr>
        <w:t>”) to any other Secured Party (the “</w:t>
      </w:r>
      <w:r>
        <w:rPr>
          <w:rFonts w:ascii="Times New Roman" w:hAnsi="Times New Roman"/>
          <w:b/>
          <w:i/>
          <w:sz w:val="20"/>
        </w:rPr>
        <w:t>VAT</w:t>
      </w:r>
      <w:r>
        <w:rPr>
          <w:rFonts w:ascii="Times New Roman" w:hAnsi="Times New Roman"/>
          <w:sz w:val="20"/>
        </w:rPr>
        <w:t xml:space="preserve"> </w:t>
      </w:r>
      <w:r>
        <w:rPr>
          <w:rFonts w:ascii="Times New Roman" w:hAnsi="Times New Roman"/>
          <w:b/>
          <w:i/>
          <w:sz w:val="20"/>
        </w:rPr>
        <w:t>Recipient</w:t>
      </w:r>
      <w:r>
        <w:rPr>
          <w:rFonts w:ascii="Times New Roman" w:hAnsi="Times New Roman"/>
          <w:sz w:val="20"/>
        </w:rPr>
        <w:t>”) under any Notes Documents, and any party other than the VAT Recipient (the “</w:t>
      </w:r>
      <w:r>
        <w:rPr>
          <w:rFonts w:ascii="Times New Roman" w:hAnsi="Times New Roman"/>
          <w:b/>
          <w:i/>
          <w:sz w:val="20"/>
        </w:rPr>
        <w:t>Relevant Party</w:t>
      </w:r>
      <w:r>
        <w:rPr>
          <w:rFonts w:ascii="Times New Roman" w:hAnsi="Times New Roman"/>
          <w:sz w:val="20"/>
        </w:rPr>
        <w:t xml:space="preserve">”) is required by the terms of any Notes Documents to pay an amount equal to the consideration for that supply to the VAT Supplier (rather than being required to reimburse or indemnify the VAT Recipient in respect of that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 where the VAT Supplier is the person required to account to the relevant tax authority for the VAT, the Relevant Party must also pay to the VAT Supplier (at the same time as paying that amount) an additional amount equal to the amount of VAT. The VAT Recipient must (where this sub-paragraph (ii)(A) applies) promptly pay to the Relevant Party an amount equal to any credit or repayment the VAT Recipient receives from the relevant tax authority which the VAT Recipient reasonably determines relates to the VAT chargeable on that supply; and </w:t>
      </w:r>
    </w:p>
    <w:p>
      <w:pPr>
        <w:pStyle w:val="TextBody"/>
        <w:bidi w:val="0"/>
        <w:spacing w:before="120" w:after="0"/>
        <w:jc w:val="left"/>
        <w:rPr>
          <w:rFonts w:ascii="Times New Roman" w:hAnsi="Times New Roman"/>
          <w:sz w:val="20"/>
        </w:rPr>
      </w:pPr>
      <w:r>
        <w:rPr>
          <w:rFonts w:ascii="Times New Roman" w:hAnsi="Times New Roman"/>
          <w:sz w:val="20"/>
        </w:rPr>
        <w:t xml:space="preserve">(B)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Where any Notes Documents require any party to reimburse or indemnify a Secured Party for any cost or expense in connection with such Notes Documents, the reimbursement or indemnity (as the case may be) shall be for the full amount of such cost or expense, including such part thereof as represents VAT, save to the extent that such Secured Party reasonably determines that it is entitled to credit or repayment in respect of such VAT from the relevant tax authority. </w:t>
      </w:r>
    </w:p>
    <w:p>
      <w:pPr>
        <w:pStyle w:val="TextBody"/>
        <w:bidi w:val="0"/>
        <w:spacing w:before="120" w:after="0"/>
        <w:jc w:val="left"/>
        <w:rPr>
          <w:rFonts w:ascii="Times New Roman" w:hAnsi="Times New Roman"/>
          <w:sz w:val="20"/>
        </w:rPr>
      </w:pPr>
      <w:r>
        <w:rPr>
          <w:rFonts w:ascii="Times New Roman" w:hAnsi="Times New Roman"/>
          <w:sz w:val="20"/>
        </w:rPr>
        <w:t xml:space="preserve">(iv) Any reference in this </w:t>
      </w:r>
      <w:r>
        <w:rPr>
          <w:rFonts w:ascii="Times New Roman" w:hAnsi="Times New Roman"/>
          <w:b/>
          <w:sz w:val="20"/>
        </w:rPr>
        <w:t>Section</w:t>
      </w:r>
      <w:r>
        <w:rPr>
          <w:rFonts w:ascii="Times New Roman" w:hAnsi="Times New Roman"/>
          <w:sz w:val="20"/>
        </w:rPr>
        <w:t> </w:t>
      </w:r>
      <w:r>
        <w:rPr>
          <w:rFonts w:ascii="Times New Roman" w:hAnsi="Times New Roman"/>
          <w:b/>
          <w:sz w:val="20"/>
        </w:rPr>
        <w:t>5.03(j)</w:t>
      </w:r>
      <w:r>
        <w:rPr>
          <w:rFonts w:ascii="Times New Roman" w:hAnsi="Times New Roman"/>
          <w:sz w:val="20"/>
        </w:rPr>
        <w:t xml:space="preserve"> to any party shall, at any time when such party is treated as a member of a group or unity (or fiscal unity) for VAT purposes, include (where appropriate and unless the context otherwise requires) a reference to the representative member of such group at such time as making the supply, or (as appropriate) receiving the supply, under the applicable VAT grouping or unity (or fiscal unity) rules (as provided for in Article 11 of Council Directive 2006/112/EC (or as implemented by the relevant member state of the European Union) or any other similar provision in any jurisdiction which is not a member state of the European Union, including, for the avoidance of doubt, in accordance with section 43 of the UK Value Added Tax Act 1994)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(v) In relation to any supply made by a Secured Party to any party under a Notes Document, if reasonably requested by such Secured Party, that party must as promptly as reasonably practicable provide such Secured Party with details of that party’s VAT registration and such other information as is reasonably requested in connection with such Secured Party’s VAT reporting requirements in relation to such supply.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Survival</w:t>
      </w:r>
      <w:r>
        <w:rPr>
          <w:rFonts w:ascii="Times New Roman" w:hAnsi="Times New Roman"/>
          <w:sz w:val="20"/>
        </w:rPr>
        <w:t xml:space="preserve">. Each party’s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shall survive the resignation or replacement of the Administrative Agent or any assignment of rights by, or the replacement of, a Noteholder, the termination of the Commitments and the repayment, satisfaction or discharge of all Obligations under any Notes Documents.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6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b/>
          <w:sz w:val="20"/>
        </w:rPr>
        <w:t>6.01</w:t>
      </w:r>
      <w:r>
        <w:rPr>
          <w:rFonts w:ascii="Times New Roman" w:hAnsi="Times New Roman"/>
          <w:sz w:val="20"/>
        </w:rPr>
        <w:t xml:space="preserve"> </w:t>
      </w:r>
      <w:r>
        <w:rPr>
          <w:rFonts w:ascii="Times New Roman" w:hAnsi="Times New Roman"/>
          <w:b/>
          <w:sz w:val="20"/>
        </w:rPr>
        <w:t>Conditions to the Closing Date</w:t>
      </w:r>
      <w:r>
        <w:rPr>
          <w:rFonts w:ascii="Times New Roman" w:hAnsi="Times New Roman"/>
          <w:sz w:val="20"/>
        </w:rPr>
        <w:t xml:space="preserve">. The effectiveness of this Agreement and the obligation of the Noteholders to subscribe for the Tranche 1 Notes on the Closing Date shall be subject to the prior or concurrent satisfaction (or waiver thereof by the Administrative Agent) of each of the conditions precedent set forth below in this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Notes Documents</w:t>
      </w:r>
      <w:r>
        <w:rPr>
          <w:rFonts w:ascii="Times New Roman" w:hAnsi="Times New Roman"/>
          <w:sz w:val="20"/>
        </w:rPr>
        <w:t xml:space="preserve">. The Administrative Agent shall have received each Notes Document required to be executed by the appropriate Obligor on the Closing Date and delivered by each applicable Obligor in such number as reasonably requested by the Administrative Agent and such Notes Documents shall be in form and substances reasonably satisfactory to the Administrative Agent, the Noteholders and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Secretary’s Certificate, Etc.</w:t>
      </w:r>
      <w:r>
        <w:rPr>
          <w:rFonts w:ascii="Times New Roman" w:hAnsi="Times New Roman"/>
          <w:sz w:val="20"/>
        </w:rPr>
        <w:t xml:space="preserve"> The Administrative Agent shall have received from each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copy of a good standing certificate or the equivalent thereof, if applicable in such Obligor’s jurisdiction of organization, dated a date reasonably close to the Closing Date, for each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(ii) a certificate, dated as of the Closing Date, duly executed and delivered by such Person’s Responsible Officer, director, managing member, general partner, authorized signatory or equivalent, as to: </w:t>
      </w:r>
    </w:p>
    <w:p>
      <w:pPr>
        <w:pStyle w:val="TextBody"/>
        <w:bidi w:val="0"/>
        <w:spacing w:before="120" w:after="0"/>
        <w:jc w:val="left"/>
        <w:rPr>
          <w:rFonts w:ascii="Times New Roman" w:hAnsi="Times New Roman"/>
          <w:sz w:val="20"/>
        </w:rPr>
      </w:pPr>
      <w:r>
        <w:rPr>
          <w:rFonts w:ascii="Times New Roman" w:hAnsi="Times New Roman"/>
          <w:sz w:val="20"/>
        </w:rPr>
        <w:t xml:space="preserve">(A) resolutions of each such Person’s Board then in full force and effect authorizing the execution, delivery and performance of each Notes Document and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the incumbency and signatures of those of its Responsible Officers, directors, managing member or general partner or equivalent authorized to act with respect to each Notes Document to be executed and delivered by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(C) the full force and validity of each Organic Document of such Person and true and complete copies thereof; </w:t>
      </w:r>
    </w:p>
    <w:p>
      <w:pPr>
        <w:pStyle w:val="TextBody"/>
        <w:bidi w:val="0"/>
        <w:spacing w:before="240" w:after="0"/>
        <w:jc w:val="left"/>
        <w:rPr>
          <w:rFonts w:ascii="Times New Roman" w:hAnsi="Times New Roman"/>
          <w:sz w:val="20"/>
        </w:rPr>
      </w:pPr>
      <w:r>
        <w:rPr>
          <w:rFonts w:ascii="Times New Roman" w:hAnsi="Times New Roman"/>
          <w:sz w:val="20"/>
        </w:rPr>
        <w:t xml:space="preserve">which certificates were in form and substance reasonably satisfactory to the Administrative Agent and upon which the Administrative Agent and the Noteholders may conclusively rely until they shall have received a further certificate of the Responsible Officer, director, managing member, general partner or equivalent of any such Person cancelling or amending the prior certificate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Information Certificate</w:t>
      </w:r>
      <w:r>
        <w:rPr>
          <w:rFonts w:ascii="Times New Roman" w:hAnsi="Times New Roman"/>
          <w:sz w:val="20"/>
        </w:rPr>
        <w:t xml:space="preserve">. The Administrative Agent shall have received a fully completed Information Certificate, in form and substance reasonably satisfactory to the Administrative Agent, dated as of the Closing Date, duly executed and delivered by a Responsible Officer of the Issuer. All documents and agreements required to be appended to the Information Certificate, if any, were in form and substance reasonably satisfactory to the Administrative Agent, were executed and delivered by the requisite parties and were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Closing Date Certificate</w:t>
      </w:r>
      <w:r>
        <w:rPr>
          <w:rFonts w:ascii="Times New Roman" w:hAnsi="Times New Roman"/>
          <w:sz w:val="20"/>
        </w:rPr>
        <w:t xml:space="preserve">. The Administrative Agent shall have received a certificate, dated as of the Closing Date, in form and substance reasonably satisfactory to the Administrative Agent, and duly executed and delivered by a Responsible Officer of the Issuer certifying that: (i) both immediately before and after the issuance of the Tranche 1 Notes on the Closing Date, (x) the representations and warranties set forth in each Notes Document qualified by materiality, Material Adverse Effect or the like were, in each case, true and correct, (y) the representations and warranties set forth in each Notes Document not qualified by materiality, Material Adverse Effect or the like were, in each case, true and correct in all material respects, and (z) no Default or Event of Default has occurred and is continuing, or could reasonably be expected to result from the issuance of the Tranche 1 Notes, or the consummation of any Transactions contemplated to occur on the Closing Date, and (ii) all of the conditions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6.01 </w:t>
      </w:r>
      <w:r>
        <w:rPr>
          <w:rFonts w:ascii="Times New Roman" w:hAnsi="Times New Roman"/>
          <w:sz w:val="20"/>
        </w:rPr>
        <w:t xml:space="preserve">had been satisfied (except to the extent waived in writing by the Administrative Agent). All documents and agreements required to be appended to the certificate delivered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6.01(d)</w:t>
      </w:r>
      <w:r>
        <w:rPr>
          <w:rFonts w:ascii="Times New Roman" w:hAnsi="Times New Roman"/>
          <w:sz w:val="20"/>
        </w:rPr>
        <w:t xml:space="preserve">, if any, were in form and substance reasonably satisfactory to the Administrative Agent, were executed (if applicable) and delivered by the requisite parties, and were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Security Documents</w:t>
      </w:r>
      <w:r>
        <w:rPr>
          <w:rFonts w:ascii="Times New Roman" w:hAnsi="Times New Roman"/>
          <w:sz w:val="20"/>
        </w:rPr>
        <w:t xml:space="preserve">. The Administrative Agent shall have received executed counterparts of all Security Documents, each dated as of the Closing Date, duly executed and delivered by the applicable Obligors, together with all documents (including any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security interest in the Collateral in accordance with the terms of the Security Documents, including: </w:t>
      </w:r>
    </w:p>
    <w:p>
      <w:pPr>
        <w:pStyle w:val="TextBody"/>
        <w:bidi w:val="0"/>
        <w:spacing w:before="120" w:after="0"/>
        <w:jc w:val="left"/>
        <w:rPr>
          <w:rFonts w:ascii="Times New Roman" w:hAnsi="Times New Roman"/>
          <w:sz w:val="20"/>
        </w:rPr>
      </w:pPr>
      <w:r>
        <w:rPr>
          <w:rFonts w:ascii="Times New Roman" w:hAnsi="Times New Roman"/>
          <w:sz w:val="20"/>
        </w:rPr>
        <w:t xml:space="preserve">(i) delivery of all certificates (in the case of Equity Interests that are securities (as defined in the UCC)) evidencing the issued and outstanding Equity Interests owned by each Obligor that are required to be pledged or otherwise secured under any Security Document, which certificates in each case shall be accompanied by undated instruments of transfer duly executed in blank, or, in the case of Equity Interests that were uncertificated securities (as defined in the UCC), confirmation and evidence reasonably satisfactory to the Administrative Agent and the Noteholders that the security interest required to be pledged therein under any Security Document had been transferred to and perfected by the Administrative Agent for the benefit of the Secured Parties in accordance with Articles 8 and 9 of the NY UCC and all Laws otherwise applicable to the perfection of the pledge of such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 financing statements naming each Obligor as a debtor and the Administrative Agent as the secured party, or other similar instruments, registrations, or documents, in each case suitable for filing, filed under the UCC (or equivalent Law) of all jurisdictions as was reasonably necessary to perfect the Liens of the Secured Parties pursuant to any Security Document; </w:t>
      </w:r>
    </w:p>
    <w:p>
      <w:pPr>
        <w:pStyle w:val="TextBody"/>
        <w:bidi w:val="0"/>
        <w:spacing w:before="120" w:after="0"/>
        <w:jc w:val="left"/>
        <w:rPr>
          <w:rFonts w:ascii="Times New Roman" w:hAnsi="Times New Roman"/>
          <w:sz w:val="20"/>
        </w:rPr>
      </w:pPr>
      <w:r>
        <w:rPr>
          <w:rFonts w:ascii="Times New Roman" w:hAnsi="Times New Roman"/>
          <w:sz w:val="20"/>
        </w:rPr>
        <w:t xml:space="preserve">(iii) all applicable Short-Form IP Security Agreements required to be provided under the Security Agreement or any other Security Document; </w:t>
      </w:r>
    </w:p>
    <w:p>
      <w:pPr>
        <w:pStyle w:val="TextBody"/>
        <w:bidi w:val="0"/>
        <w:spacing w:before="120" w:after="0"/>
        <w:jc w:val="left"/>
        <w:rPr>
          <w:rFonts w:ascii="Times New Roman" w:hAnsi="Times New Roman"/>
          <w:sz w:val="20"/>
        </w:rPr>
      </w:pPr>
      <w:r>
        <w:rPr>
          <w:rFonts w:ascii="Times New Roman" w:hAnsi="Times New Roman"/>
          <w:sz w:val="20"/>
        </w:rPr>
        <w:t xml:space="preserve">(iv) the Intercompany Subordination Agreement or such other subordination agreement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[reserved]; </w:t>
      </w:r>
    </w:p>
    <w:p>
      <w:pPr>
        <w:pStyle w:val="TextBody"/>
        <w:bidi w:val="0"/>
        <w:spacing w:before="120" w:after="0"/>
        <w:jc w:val="left"/>
        <w:rPr>
          <w:rFonts w:ascii="Times New Roman" w:hAnsi="Times New Roman"/>
          <w:sz w:val="20"/>
        </w:rPr>
      </w:pPr>
      <w:r>
        <w:rPr>
          <w:rFonts w:ascii="Times New Roman" w:hAnsi="Times New Roman"/>
          <w:sz w:val="20"/>
        </w:rPr>
        <w:t xml:space="preserve">(vi) all instruments, documents and chattel paper in the possession of any of the Obligors, together with allonges or assignments as may be necessary or appropriate to perfect the Administrative Agent’s security interest in the Collateral pursuant to the Security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(vii) all notices of assignment, share deliverables and other ancillary documents necessary to perfect the Liens of the Secured Parties pursuant to any Foreign Collateral Security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Financial Information, Etc.</w:t>
      </w:r>
      <w:r>
        <w:rPr>
          <w:rFonts w:ascii="Times New Roman" w:hAnsi="Times New Roman"/>
          <w:sz w:val="20"/>
        </w:rPr>
        <w:t xml:space="preserve"> The Administrative Agent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(i) audited consolidated financial statements of the Issuer and its Subsidiaries for the fiscal year ended December 31, 2025; and </w:t>
      </w:r>
    </w:p>
    <w:p>
      <w:pPr>
        <w:pStyle w:val="TextBody"/>
        <w:bidi w:val="0"/>
        <w:spacing w:before="120" w:after="0"/>
        <w:jc w:val="left"/>
        <w:rPr>
          <w:rFonts w:ascii="Times New Roman" w:hAnsi="Times New Roman"/>
          <w:sz w:val="20"/>
        </w:rPr>
      </w:pPr>
      <w:r>
        <w:rPr>
          <w:rFonts w:ascii="Times New Roman" w:hAnsi="Times New Roman"/>
          <w:sz w:val="20"/>
        </w:rPr>
        <w:t xml:space="preserve">(ii) unaudited consolidated balance sheets of the Issuer and its Subsidiaries for the fiscal quarters ended March 31, 2026 and June 30, 2026, together with the related consolidated statement of operations, shareholder’s equity and cash flows for each such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Insurance</w:t>
      </w:r>
      <w:r>
        <w:rPr>
          <w:rFonts w:ascii="Times New Roman" w:hAnsi="Times New Roman"/>
          <w:sz w:val="20"/>
        </w:rPr>
        <w:t xml:space="preserve">. The Administrative Agent shall have received certificates of insurance evidencing that the insurance required to be maintained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was at the Closing Date in full force and effect, together with endorsements naming the Administrative Agent, for the benefit of the Noteholders, as additional insured and lender loss payee thereunder, in each case,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Lien Searches</w:t>
      </w:r>
      <w:r>
        <w:rPr>
          <w:rFonts w:ascii="Times New Roman" w:hAnsi="Times New Roman"/>
          <w:sz w:val="20"/>
        </w:rPr>
        <w:t xml:space="preserve">. The Administrative Agent shall be satisfied with scope and results of Lien searches (or equivalents) regarding the Obligors made within thirty (30)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Blackstone Collaboration Agreement, BioNTech License Agreement and UCLB License Agreement</w:t>
      </w:r>
      <w:r>
        <w:rPr>
          <w:rFonts w:ascii="Times New Roman" w:hAnsi="Times New Roman"/>
          <w:sz w:val="20"/>
        </w:rPr>
        <w:t xml:space="preserve">. The Administrative Agent shall have received (i) fully executed copies of the Blackstone Collaboration Agreement, the BioNTech License Agreement, the UCLB License Agreement and, in each case, all material transaction documents related thereto, and (ii) evidence that all Liens filed by BXLS V – Autobahn L.P. pursuant to the Blackstone Collaboration Agreement shall have been released and terminated prior to the Closing Date (other than any Liens set forth on </w:t>
      </w:r>
      <w:r>
        <w:rPr>
          <w:rFonts w:ascii="Times New Roman" w:hAnsi="Times New Roman"/>
          <w:b/>
          <w:sz w:val="20"/>
        </w:rPr>
        <w:t>Schedule 8.19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Minimum Liquidity Compliance</w:t>
      </w:r>
      <w:r>
        <w:rPr>
          <w:rFonts w:ascii="Times New Roman" w:hAnsi="Times New Roman"/>
          <w:sz w:val="20"/>
        </w:rPr>
        <w:t xml:space="preserve">. The Administrative Agent shall have received evidence reasonably satisfactory to it that, immediately after giving effect to the issuance of the Tranche 1 Notes on the Closing Date, the Obligors are in compliance with the covenant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Closing Date Warrant Certificates; Registration Rights Agreement</w:t>
      </w:r>
      <w:r>
        <w:rPr>
          <w:rFonts w:ascii="Times New Roman" w:hAnsi="Times New Roman"/>
          <w:sz w:val="20"/>
        </w:rPr>
        <w:t xml:space="preserve">. The Administrative Agent shall have received (i) executed counterparts of Warrant Certificates, exercisable in the aggregate into 3,500,000 American Depositary Shares with a per share exercise price of $1.9314, duly executed, delivered and validly issued by the Issuer and (ii) an executed counterpart of the Registration Rights Agreement (as defined in the Warrant Certificates).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Solvency Certificate</w:t>
      </w:r>
      <w:r>
        <w:rPr>
          <w:rFonts w:ascii="Times New Roman" w:hAnsi="Times New Roman"/>
          <w:sz w:val="20"/>
        </w:rPr>
        <w:t xml:space="preserve">. The Administrative Agent shall have received a solvency certificate substantially in the form of </w:t>
      </w:r>
      <w:r>
        <w:rPr>
          <w:rFonts w:ascii="Times New Roman" w:hAnsi="Times New Roman"/>
          <w:b/>
          <w:sz w:val="20"/>
        </w:rPr>
        <w:t>Exhibit H</w:t>
      </w:r>
      <w:r>
        <w:rPr>
          <w:rFonts w:ascii="Times New Roman" w:hAnsi="Times New Roman"/>
          <w:sz w:val="20"/>
        </w:rPr>
        <w:t xml:space="preserve">, duly executed and delivered by the chief financial or other Responsible Officer of the Issuer, dated as of the Closing Date,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rPr>
        <w:t>Opinions of Counsel</w:t>
      </w:r>
      <w:r>
        <w:rPr>
          <w:rFonts w:ascii="Times New Roman" w:hAnsi="Times New Roman"/>
          <w:sz w:val="20"/>
        </w:rPr>
        <w:t xml:space="preserve">. The Administrative Agent shall have received (x) a legal opinion, dated as of the Closing Date and addressed to the Administrative Agent and the Noteholders, from independent U.S. legal counsel to the Issuer and (y) a legal opinion, dated as of the Closing Date and addressed to the Administrative Agent and the Noteholders, from English legal counsel to the Administrative Agent and the Noteholders, in each case, in form and substance reasonably acceptable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b/>
          <w:sz w:val="20"/>
        </w:rPr>
        <w:t>Material Adverse Change</w:t>
      </w:r>
      <w:r>
        <w:rPr>
          <w:rFonts w:ascii="Times New Roman" w:hAnsi="Times New Roman"/>
          <w:sz w:val="20"/>
        </w:rPr>
        <w:t xml:space="preserve">. Since December 31, 2025, no Material Adverse Change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rPr>
        <w:t>Know Your Customer</w:t>
      </w:r>
      <w:r>
        <w:rPr>
          <w:rFonts w:ascii="Times New Roman" w:hAnsi="Times New Roman"/>
          <w:sz w:val="20"/>
        </w:rPr>
        <w:t xml:space="preserve">. The Administrative Agent shall have received, as applicable, all documentation and other information required by bank regulatory authorities under applicable “know your customer” and Anti-Terrorism Laws, including the Patriot Act, in each case to the extent requested by the Administrative Agent at least three (3)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rPr>
        <w:t>Beneficial Ownership Certificate</w:t>
      </w:r>
      <w:r>
        <w:rPr>
          <w:rFonts w:ascii="Times New Roman" w:hAnsi="Times New Roman"/>
          <w:sz w:val="20"/>
        </w:rPr>
        <w:t xml:space="preserve">. To the extent requested by any Noteholder or the Administrative Agent at least three (3) Business Days prior to the Closing Date, the Issuer shall have provided to such Noteholder and the Administrative Agent all documentation and other information so requested, including a duly executed IRS Form W-9 or applicable IRS Form W-8 of an Obligor (or such other applicable tax form), in connection with applicable “know your customer” and anti-money laundering rules and regulations, including the Patriot Act, and if the Issuer qualifies as a “legal entity customer” under the Beneficial Ownership Regulation, a Beneficial Ownership Certification, in each case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rPr>
        <w:t>Fees, Expenses, Etc</w:t>
      </w:r>
      <w:r>
        <w:rPr>
          <w:rFonts w:ascii="Times New Roman" w:hAnsi="Times New Roman"/>
          <w:sz w:val="20"/>
        </w:rPr>
        <w:t xml:space="preserve">. The Administrative Agent shall have received (i) an executed counterpart of the Fee Letter, duly executed and delivered by the Issuer and (ii) for its account and the account of each Noteholder, as applicable, all fees required to be paid on the Closing Date pursuant to the Fee Letter, together with payment and reimbursement of all other fees, costs and expenses due and payable pursuant to the Proposal Letter and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6.02</w:t>
      </w:r>
      <w:r>
        <w:rPr>
          <w:rFonts w:ascii="Times New Roman" w:hAnsi="Times New Roman"/>
          <w:sz w:val="20"/>
        </w:rPr>
        <w:t xml:space="preserve"> </w:t>
      </w:r>
      <w:r>
        <w:rPr>
          <w:rFonts w:ascii="Times New Roman" w:hAnsi="Times New Roman"/>
          <w:b/>
          <w:sz w:val="20"/>
        </w:rPr>
        <w:t>Conditions to the Issuance and Sale of Notes</w:t>
      </w:r>
      <w:r>
        <w:rPr>
          <w:rFonts w:ascii="Times New Roman" w:hAnsi="Times New Roman"/>
          <w:sz w:val="20"/>
        </w:rPr>
        <w:t xml:space="preserve">. The obligation of the Noteholders to subscribe for the Notes on the applicable Notes Issue Date shall be subject to the prior or concurrent satisfaction (or waiver thereof by the Administrative Agent) of each of the conditions precedent set forth below in this </w:t>
      </w: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Notes Subscription Request; Funds Flow</w:t>
      </w:r>
      <w:r>
        <w:rPr>
          <w:rFonts w:ascii="Times New Roman" w:hAnsi="Times New Roman"/>
          <w:sz w:val="20"/>
        </w:rPr>
        <w:t xml:space="preserve">. The Administrative Agent shall have received a Notes Subscription Request, duly executed and delivered by a Responsible Officer of the Issuer and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2.02(a)(i)</w:t>
      </w:r>
      <w:r>
        <w:rPr>
          <w:rFonts w:ascii="Times New Roman" w:hAnsi="Times New Roman"/>
          <w:sz w:val="20"/>
        </w:rPr>
        <w:t xml:space="preserve"> and attaching a funds flow memorandum summarizing, in reasonable detail, the use of proceeds of the applicable Notes.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Default or Event of Default; Representations and Warranties</w:t>
      </w:r>
      <w:r>
        <w:rPr>
          <w:rFonts w:ascii="Times New Roman" w:hAnsi="Times New Roman"/>
          <w:sz w:val="20"/>
        </w:rPr>
        <w:t xml:space="preserve">. Both immediately before and after the issuance of the applicable Notes on the applicable Notes Issue Date, (i) the representations and warranties set forth in each Notes Document qualified by materiality, Material Adverse Effect or the like were, in each case, true and correct, (ii) the representations and warranties set forth in each Notes Document not qualified by materiality, Material Adverse Effect or the like were, in each case, true and correct in all material respects, and (iii) no Default or Event of Default has occurred and is continuing, or would reasonably be expected to result from the issuance of the applicable Notes on the applicable Notes Issue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Fees, Expenses, Etc</w:t>
      </w:r>
      <w:r>
        <w:rPr>
          <w:rFonts w:ascii="Times New Roman" w:hAnsi="Times New Roman"/>
          <w:sz w:val="20"/>
        </w:rPr>
        <w:t xml:space="preserve">. The Administrative Agent shall have received for its account and the account of each Noteholder, the applicable fees set forth in the Fee Letter, together with payment and reimbursement of all other fees, costs and expenses due and payable pursuant to the Proposal Letter and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Funding Condition</w:t>
      </w:r>
      <w:r>
        <w:rPr>
          <w:rFonts w:ascii="Times New Roman" w:hAnsi="Times New Roman"/>
          <w:sz w:val="20"/>
        </w:rPr>
        <w:t xml:space="preserve">. (i) With respect to the Tranche 3 Notes, Consolidated Net Revenue for the most recently ended trailing twelve (12) consecutive month period exceeded $[***] and the Administrative Agent shall have received the Tranche 3 Note Condition Certificate and (ii) with respect to the Tranche 4 Notes, Consolidated Net Revenue for the most recently ended trailing twelve (12) consecutive month period exceeded $[***] and the Administrative Agent shall have received the Tranche 4 Note Condition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Warrant Certificates</w:t>
      </w:r>
      <w:r>
        <w:rPr>
          <w:rFonts w:ascii="Times New Roman" w:hAnsi="Times New Roman"/>
          <w:sz w:val="20"/>
        </w:rPr>
        <w:t xml:space="preserve">. (i) On the Tranche 3 Issue Date, the Administrative Agent shall have received executed counterparts of Warrant Certificates, exercisable in the aggregate into 2,500,000 American Depositary Shares with a per share exercise price as set forth therein, duly executed, delivered and validly issued by the Issuer and (ii) on the Tranche 4 Issue Date, the Administrative Agent shall have received executed counterparts of the Warrant Certificates, exercisable in the aggregate into 2,500,000 American Depositary Shares with a per share exercise price as set forth therein, duly executed, delivered and validly issued by the Issuer; </w:t>
      </w:r>
      <w:r>
        <w:rPr>
          <w:rFonts w:ascii="Times New Roman" w:hAnsi="Times New Roman"/>
          <w:sz w:val="20"/>
          <w:u w:val="single"/>
        </w:rPr>
        <w:t>provided</w:t>
      </w:r>
      <w:r>
        <w:rPr>
          <w:rFonts w:ascii="Times New Roman" w:hAnsi="Times New Roman"/>
          <w:sz w:val="20"/>
        </w:rPr>
        <w:t xml:space="preserve"> that with respect to the preceding </w:t>
      </w:r>
      <w:r>
        <w:rPr>
          <w:rFonts w:ascii="Times New Roman" w:hAnsi="Times New Roman"/>
          <w:b/>
          <w:sz w:val="20"/>
        </w:rPr>
        <w:t>clauses (i)</w:t>
      </w:r>
      <w:r>
        <w:rPr>
          <w:rFonts w:ascii="Times New Roman" w:hAnsi="Times New Roman"/>
          <w:sz w:val="20"/>
        </w:rPr>
        <w:t xml:space="preserve"> and </w:t>
      </w:r>
      <w:r>
        <w:rPr>
          <w:rFonts w:ascii="Times New Roman" w:hAnsi="Times New Roman"/>
          <w:b/>
          <w:sz w:val="20"/>
        </w:rPr>
        <w:t>(ii)</w:t>
      </w:r>
      <w:r>
        <w:rPr>
          <w:rFonts w:ascii="Times New Roman" w:hAnsi="Times New Roman"/>
          <w:sz w:val="20"/>
        </w:rPr>
        <w:t xml:space="preserve">, the number of American Depositary Shares into which each Warrant Certificate is exercisable into shall be adjusted for any stock splits, stock combinations and the like that take place after the Closing Date and prior to the Tranche 3 Issue Date or the Tranche 4 Issue Date,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7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each other Obligor hereby jointly and severally represent and warrant to the Administrative Agent and each Noteholder that: </w:t>
      </w:r>
    </w:p>
    <w:p>
      <w:pPr>
        <w:pStyle w:val="TextBody"/>
        <w:bidi w:val="0"/>
        <w:spacing w:before="120" w:after="0"/>
        <w:jc w:val="left"/>
        <w:rPr>
          <w:rFonts w:ascii="Times New Roman" w:hAnsi="Times New Roman"/>
          <w:sz w:val="20"/>
        </w:rPr>
      </w:pPr>
      <w:r>
        <w:rPr>
          <w:rFonts w:ascii="Times New Roman" w:hAnsi="Times New Roman"/>
          <w:b/>
          <w:sz w:val="20"/>
        </w:rPr>
        <w:t>7.01</w:t>
      </w:r>
      <w:r>
        <w:rPr>
          <w:rFonts w:ascii="Times New Roman" w:hAnsi="Times New Roman"/>
          <w:sz w:val="20"/>
        </w:rPr>
        <w:t xml:space="preserve"> </w:t>
      </w:r>
      <w:r>
        <w:rPr>
          <w:rFonts w:ascii="Times New Roman" w:hAnsi="Times New Roman"/>
          <w:b/>
          <w:sz w:val="20"/>
        </w:rPr>
        <w:t>Power and Authority</w:t>
      </w:r>
      <w:r>
        <w:rPr>
          <w:rFonts w:ascii="Times New Roman" w:hAnsi="Times New Roman"/>
          <w:sz w:val="20"/>
        </w:rPr>
        <w:t xml:space="preserve">. Each Obligor and each of its Subsidiaries (i) is duly organized or incorporated, as applicable, and validly existing under the laws of its jurisdiction of organization or incorporation, as applicable, (ii) has all requisite corporate or other power, and has all Governmental Approvals necessary to own or lease its assets and carry on its business as now conducted and as proposed to be conducted, including all Healthcare Permits, except where the failure to have such powers, Governmental Approvals, and Healthcare Permits would not reasonably be expected to result in a Material Adverse Effect, (iii) is qualified to do business and is in good standing (or equivalent, to the extent applicable in such Obligor’s or Subsidiary’s jurisdiction of organization) in all jurisdictions in which the nature of its business makes such qualification necessary, except where the failure to so qualify, individually or in the aggregate, would not reasonably be expected to result in a Material Adverse Effect, and (iv) has full power, authority and legal right to execute, deliver and perform its obligations under each of the Notes Documents to which it is a party and, in the case of the Issuer, to issue the Notes hereunder. </w:t>
      </w:r>
    </w:p>
    <w:p>
      <w:pPr>
        <w:pStyle w:val="TextBody"/>
        <w:bidi w:val="0"/>
        <w:spacing w:before="120" w:after="0"/>
        <w:jc w:val="left"/>
        <w:rPr>
          <w:rFonts w:ascii="Times New Roman" w:hAnsi="Times New Roman"/>
          <w:sz w:val="20"/>
        </w:rPr>
      </w:pPr>
      <w:r>
        <w:rPr>
          <w:rFonts w:ascii="Times New Roman" w:hAnsi="Times New Roman"/>
          <w:b/>
          <w:sz w:val="20"/>
        </w:rPr>
        <w:t>7.02</w:t>
      </w:r>
      <w:r>
        <w:rPr>
          <w:rFonts w:ascii="Times New Roman" w:hAnsi="Times New Roman"/>
          <w:sz w:val="20"/>
        </w:rPr>
        <w:t xml:space="preserve"> </w:t>
      </w:r>
      <w:r>
        <w:rPr>
          <w:rFonts w:ascii="Times New Roman" w:hAnsi="Times New Roman"/>
          <w:b/>
          <w:sz w:val="20"/>
        </w:rPr>
        <w:t>Authorization; Enforceability</w:t>
      </w:r>
      <w:r>
        <w:rPr>
          <w:rFonts w:ascii="Times New Roman" w:hAnsi="Times New Roman"/>
          <w:sz w:val="20"/>
        </w:rPr>
        <w:t xml:space="preserve">. Each Transaction to which an Obligor is a party (or to which it or any of its assets or properties is subject) are within such Obligor’s corporate or other powers and have been duly authorized by all necessary corporate action including, if required, approval by all necessary holders of Equity Interests. This Agreement has been duly executed and delivered by such Obligor and constitutes, and each of the other Notes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similar laws of general applicability affecting the enforcement of creditors’ rights; (ii) the application of general principles of equity (regardless of whether such enforceability is considered in a proceeding in equity or at law); (iii) solely in respect of the English Guarantors, the English Legal Reservations or the Perfection Requirements; and (iv) solely in respect of the German Guarantors, the German Legal Reservations or the Perfection Requirements. </w:t>
      </w:r>
    </w:p>
    <w:p>
      <w:pPr>
        <w:pStyle w:val="TextBody"/>
        <w:bidi w:val="0"/>
        <w:spacing w:before="120" w:after="0"/>
        <w:jc w:val="left"/>
        <w:rPr>
          <w:rFonts w:ascii="Times New Roman" w:hAnsi="Times New Roman"/>
          <w:sz w:val="20"/>
        </w:rPr>
      </w:pPr>
      <w:r>
        <w:rPr>
          <w:rFonts w:ascii="Times New Roman" w:hAnsi="Times New Roman"/>
          <w:b/>
          <w:sz w:val="20"/>
        </w:rPr>
        <w:t>7.03</w:t>
      </w:r>
      <w:r>
        <w:rPr>
          <w:rFonts w:ascii="Times New Roman" w:hAnsi="Times New Roman"/>
          <w:sz w:val="20"/>
        </w:rPr>
        <w:t xml:space="preserve"> </w:t>
      </w:r>
      <w:r>
        <w:rPr>
          <w:rFonts w:ascii="Times New Roman" w:hAnsi="Times New Roman"/>
          <w:b/>
          <w:sz w:val="20"/>
        </w:rPr>
        <w:t>Governmental and Other Approvals; No Conflicts</w:t>
      </w:r>
      <w:r>
        <w:rPr>
          <w:rFonts w:ascii="Times New Roman" w:hAnsi="Times New Roman"/>
          <w:sz w:val="20"/>
        </w:rPr>
        <w:t>. No authorization or approval or other action by, and no notice to or filing with, any Governmental Authority or any other Person is required in connection with the due execution, delivery or performance by any Obligor of any Notes Document to which it is a party, except for (a) such approvals, consents, exemptions, authorizations, actions or notices that have been duly obtained, taken or made and are in full force and effect, (b) such filings and recordings that have been or will be made on the Closing Date in respect of perfecting or recording the Liens created pursuant to the Security Documents, and (c) solely in respect of the English Guarantors, the registration of particulars of the applicable Security Documents at Companies House in England and Wales under section 859A of the UK Companies Act 2006 (and payment of associated fees) and, to the extent any Intellectual Property is registered at the public register of the Intellectual Property Office of the United Kingdom (the “</w:t>
      </w:r>
      <w:r>
        <w:rPr>
          <w:rFonts w:ascii="Times New Roman" w:hAnsi="Times New Roman"/>
          <w:b/>
          <w:i/>
          <w:sz w:val="20"/>
        </w:rPr>
        <w:t>UK IPO</w:t>
      </w:r>
      <w:r>
        <w:rPr>
          <w:rFonts w:ascii="Times New Roman" w:hAnsi="Times New Roman"/>
          <w:sz w:val="20"/>
        </w:rPr>
        <w:t>”) or the European Union Intellectual Property Office (the “</w:t>
      </w:r>
      <w:r>
        <w:rPr>
          <w:rFonts w:ascii="Times New Roman" w:hAnsi="Times New Roman"/>
          <w:b/>
          <w:i/>
          <w:sz w:val="20"/>
        </w:rPr>
        <w:t>EUIPO</w:t>
      </w:r>
      <w:r>
        <w:rPr>
          <w:rFonts w:ascii="Times New Roman" w:hAnsi="Times New Roman"/>
          <w:sz w:val="20"/>
        </w:rPr>
        <w:t xml:space="preserve">”), the registration of particulars of the applicable Security Documents at the UK IPO or the EUIPO. None of the Transactions will (i) violate or conflict with any Law in any material respect, (ii) violate or conflict with any Organic Document of the Issuer or any of its Subsidiaries, (iii) violate or conflict with any Governmental Approval binding upon the Issuer or any of its Subsidiaries, except for any such violation that would not, individually or in the aggregate, reasonably be expected to result in a Material Adverse Effect, (iv) violate or result in a default, or require any consent or approval under any Material Agreement, or give rise to a right thereunder to require any payment to be made by the Issuer or any of its Subsidiaries, except for any such violation, default or the creation of such rights that would not, individually or in the aggregate, reasonably be expected to result in a Material Adverse Effect, or (v) result in the creation or imposition of any Lien (other than Permitted Liens) on any asset of any Obligor or any of its Subsidiaries. The Issuer, its Subsidiaries and their respective properties and businesses are in compliance in all material respects with all applicable Laws (including Healthcare Laws) and Governmental Approvals applicable to such Persons and their properties or businesses, as the case may be. </w:t>
      </w:r>
    </w:p>
    <w:p>
      <w:pPr>
        <w:pStyle w:val="TextBody"/>
        <w:bidi w:val="0"/>
        <w:spacing w:before="120" w:after="0"/>
        <w:jc w:val="left"/>
        <w:rPr>
          <w:rFonts w:ascii="Times New Roman" w:hAnsi="Times New Roman"/>
          <w:sz w:val="20"/>
        </w:rPr>
      </w:pPr>
      <w:r>
        <w:rPr>
          <w:rFonts w:ascii="Times New Roman" w:hAnsi="Times New Roman"/>
          <w:b/>
          <w:sz w:val="20"/>
        </w:rPr>
        <w:t>7.04</w:t>
      </w:r>
      <w:r>
        <w:rPr>
          <w:rFonts w:ascii="Times New Roman" w:hAnsi="Times New Roman"/>
          <w:sz w:val="20"/>
        </w:rPr>
        <w:t xml:space="preserve"> </w:t>
      </w:r>
      <w:r>
        <w:rPr>
          <w:rFonts w:ascii="Times New Roman" w:hAnsi="Times New Roman"/>
          <w:b/>
          <w:sz w:val="20"/>
        </w:rPr>
        <w:t>Financial Statements;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Financial Statements</w:t>
      </w:r>
      <w:r>
        <w:rPr>
          <w:rFonts w:ascii="Times New Roman" w:hAnsi="Times New Roman"/>
          <w:sz w:val="20"/>
        </w:rPr>
        <w:t xml:space="preserve">. Issuer has heretofore furnished to the Administrative Agent and the Noteholders certain consolidated financial statements as provided for in </w:t>
      </w:r>
      <w:r>
        <w:rPr>
          <w:rFonts w:ascii="Times New Roman" w:hAnsi="Times New Roman"/>
          <w:b/>
          <w:sz w:val="20"/>
        </w:rPr>
        <w:t>Section</w:t>
      </w:r>
      <w:r>
        <w:rPr>
          <w:rFonts w:ascii="Times New Roman" w:hAnsi="Times New Roman"/>
          <w:sz w:val="20"/>
        </w:rPr>
        <w:t> </w:t>
      </w:r>
      <w:r>
        <w:rPr>
          <w:rFonts w:ascii="Times New Roman" w:hAnsi="Times New Roman"/>
          <w:b/>
          <w:sz w:val="20"/>
        </w:rPr>
        <w:t>6.01(f)</w:t>
      </w:r>
      <w:r>
        <w:rPr>
          <w:rFonts w:ascii="Times New Roman" w:hAnsi="Times New Roman"/>
          <w:sz w:val="20"/>
        </w:rPr>
        <w:t xml:space="preserve">. Such financial statements, and all other financial statements delivered by the Issuer pursuant hereto (including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present fairly, in all material respects, the consolidated financial position and results of operations and cash flows of the Issuer and its Subsidiaries as of such dates and for such periods in accordance with GAAP, subject to year-end audit adjustments and the absence of footnotes in the case of the statements of the type described in </w:t>
      </w:r>
      <w:r>
        <w:rPr>
          <w:rFonts w:ascii="Times New Roman" w:hAnsi="Times New Roman"/>
          <w:b/>
          <w:sz w:val="20"/>
        </w:rPr>
        <w:t xml:space="preserve">Sections 8.01(a) </w:t>
      </w:r>
      <w:r>
        <w:rPr>
          <w:rFonts w:ascii="Times New Roman" w:hAnsi="Times New Roman"/>
          <w:sz w:val="20"/>
        </w:rPr>
        <w:t xml:space="preserve">and </w:t>
      </w:r>
      <w:r>
        <w:rPr>
          <w:rFonts w:ascii="Times New Roman" w:hAnsi="Times New Roman"/>
          <w:b/>
          <w:sz w:val="20"/>
        </w:rPr>
        <w:t>8.01(b)</w:t>
      </w:r>
      <w:r>
        <w:rPr>
          <w:rFonts w:ascii="Times New Roman" w:hAnsi="Times New Roman"/>
          <w:sz w:val="20"/>
        </w:rPr>
        <w:t xml:space="preserve">. Except as set forth in such financial statements, neither Issuer nor any of its Subsidiaries has any material contingent liabilities or unusual forward or long-term commitments required to be disclosed in the aforementioned financial statements and related footnotes in accordance with GAAP that are not disclosed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Material Adverse Change</w:t>
      </w:r>
      <w:r>
        <w:rPr>
          <w:rFonts w:ascii="Times New Roman" w:hAnsi="Times New Roman"/>
          <w:sz w:val="20"/>
        </w:rPr>
        <w:t xml:space="preserve">. Since December 31, 2025, no Material Adverse Change has occurred. </w:t>
      </w:r>
    </w:p>
    <w:p>
      <w:pPr>
        <w:pStyle w:val="TextBody"/>
        <w:bidi w:val="0"/>
        <w:spacing w:before="120" w:after="0"/>
        <w:jc w:val="left"/>
        <w:rPr>
          <w:rFonts w:ascii="Times New Roman" w:hAnsi="Times New Roman"/>
          <w:sz w:val="20"/>
        </w:rPr>
      </w:pPr>
      <w:r>
        <w:rPr>
          <w:rFonts w:ascii="Times New Roman" w:hAnsi="Times New Roman"/>
          <w:b/>
          <w:sz w:val="20"/>
        </w:rPr>
        <w:t>7.05</w:t>
      </w:r>
      <w:r>
        <w:rPr>
          <w:rFonts w:ascii="Times New Roman" w:hAnsi="Times New Roman"/>
          <w:sz w:val="20"/>
        </w:rPr>
        <w:t xml:space="preserve"> </w:t>
      </w:r>
      <w:r>
        <w:rPr>
          <w:rFonts w:ascii="Times New Roman" w:hAnsi="Times New Roman"/>
          <w:b/>
          <w:sz w:val="20"/>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Property Generally</w:t>
      </w:r>
      <w:r>
        <w:rPr>
          <w:rFonts w:ascii="Times New Roman" w:hAnsi="Times New Roman"/>
          <w:sz w:val="20"/>
        </w:rPr>
        <w:t xml:space="preserve">. With respect to all real and personal assets and properties of the Issuer and each of its Subsidiaries (other than Intellectual Property which is addressed in </w:t>
      </w:r>
      <w:r>
        <w:rPr>
          <w:rFonts w:ascii="Times New Roman" w:hAnsi="Times New Roman"/>
          <w:b/>
          <w:sz w:val="20"/>
        </w:rPr>
        <w:t>clause (b)</w:t>
      </w:r>
      <w:r>
        <w:rPr>
          <w:rFonts w:ascii="Times New Roman" w:hAnsi="Times New Roman"/>
          <w:sz w:val="20"/>
        </w:rPr>
        <w:t xml:space="preserve"> below), the Issuer and each of its Subsidiaries has good and marketable fee simple title to, valid leasehold interests or other equivalent rights in, all such real and personal assets and property, whether tangible or intangible, material to its respective business, subject only to Permitted Liens and except for defects in title that do not, and are not reasonably anticipated to materially interfere with the ability of the Issuer or any such Subsidiaries, as the case may be, to utilize such assets and properties in the ordinary course of business as conducted as of the Closing Date and reasonably anticipated to be conducted thereafter.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Schedule 7.05(b)</w:t>
      </w:r>
      <w:r>
        <w:rPr>
          <w:rFonts w:ascii="Times New Roman" w:hAnsi="Times New Roman"/>
          <w:sz w:val="20"/>
        </w:rPr>
        <w:t xml:space="preserve"> contains, with respect to the Obligors and their respective Material Intellectual Property (set forth on an Obligor-by-Obligor basis, designated as to whether such Material Intellectual Property is owned or in-licensed): </w:t>
      </w:r>
    </w:p>
    <w:p>
      <w:pPr>
        <w:pStyle w:val="TextBody"/>
        <w:bidi w:val="0"/>
        <w:spacing w:before="120" w:after="0"/>
        <w:jc w:val="left"/>
        <w:rPr>
          <w:rFonts w:ascii="Times New Roman" w:hAnsi="Times New Roman"/>
          <w:sz w:val="20"/>
        </w:rPr>
      </w:pPr>
      <w:r>
        <w:rPr>
          <w:rFonts w:ascii="Times New Roman" w:hAnsi="Times New Roman"/>
          <w:sz w:val="20"/>
        </w:rPr>
        <w:t xml:space="preserve">(A) a complete and accurate list of all applied-for, issued, or registered Patents owned by or licensed to the Obligors, including the jurisdiction and patent number, that qualify as Material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 a complete and accurate list of all material applied-for, or registered active Trademarks owned by or licensed to the Obligors, including the jurisdiction, trademark application or registration number and the application or registration date, that qualify as Material Intellectual Property; and </w:t>
      </w:r>
    </w:p>
    <w:p>
      <w:pPr>
        <w:pStyle w:val="TextBody"/>
        <w:bidi w:val="0"/>
        <w:spacing w:before="120" w:after="0"/>
        <w:jc w:val="left"/>
        <w:rPr>
          <w:rFonts w:ascii="Times New Roman" w:hAnsi="Times New Roman"/>
          <w:sz w:val="20"/>
        </w:rPr>
      </w:pPr>
      <w:r>
        <w:rPr>
          <w:rFonts w:ascii="Times New Roman" w:hAnsi="Times New Roman"/>
          <w:sz w:val="20"/>
        </w:rPr>
        <w:t xml:space="preserve">(C) a complete and accurate list of all applied-for or registered Copyrights owned by or licensed to the Obligors, that qualify as Material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Intellectual Property listed on </w:t>
      </w:r>
      <w:r>
        <w:rPr>
          <w:rFonts w:ascii="Times New Roman" w:hAnsi="Times New Roman"/>
          <w:b/>
          <w:sz w:val="20"/>
        </w:rPr>
        <w:t>Schedule 7.05(b)</w:t>
      </w:r>
      <w:r>
        <w:rPr>
          <w:rFonts w:ascii="Times New Roman" w:hAnsi="Times New Roman"/>
          <w:sz w:val="20"/>
        </w:rPr>
        <w:t xml:space="preserve"> that is designated as in-licensed by the Obligors from a third party, there are no unpaid fees or royalties (or similar payment obligations) due and payable as of the Closing Date under or in respect of any such in-licensed Material Intellectual Property (or any license or other Contract related thereto), and, to the knowledge of the Issuer, such license is legal, valid, binding, enforceable, and in full force and effect. No Obligor is in material breach or default of any such license and, to the knowledge of the Issuer, no third party (including the licensor of any such licensed Material Intellectual Property) is in material breach or default of any such license that, in either case, would reasonably be expected to give rise to a right of rescission, termination, revision or amendment of such license. </w:t>
      </w:r>
    </w:p>
    <w:p>
      <w:pPr>
        <w:pStyle w:val="TextBody"/>
        <w:bidi w:val="0"/>
        <w:spacing w:before="120" w:after="0"/>
        <w:jc w:val="left"/>
        <w:rPr>
          <w:rFonts w:ascii="Times New Roman" w:hAnsi="Times New Roman"/>
          <w:sz w:val="20"/>
        </w:rPr>
      </w:pPr>
      <w:r>
        <w:rPr>
          <w:rFonts w:ascii="Times New Roman" w:hAnsi="Times New Roman"/>
          <w:sz w:val="20"/>
        </w:rPr>
        <w:t xml:space="preserve">(iii) To the Obligors’ knowledge, with respect to any Material Intellectual Property listed on </w:t>
      </w:r>
      <w:r>
        <w:rPr>
          <w:rFonts w:ascii="Times New Roman" w:hAnsi="Times New Roman"/>
          <w:b/>
          <w:sz w:val="20"/>
        </w:rPr>
        <w:t>Schedule 7.05(b)</w:t>
      </w:r>
      <w:r>
        <w:rPr>
          <w:rFonts w:ascii="Times New Roman" w:hAnsi="Times New Roman"/>
          <w:sz w:val="20"/>
        </w:rPr>
        <w:t xml:space="preserve"> that is designated as owned or exclusively in-licensed by the Obligors, each Obligor or, to the knowledge of the Issuer, each licensor, as the case may be, is the sole beneficial owner of all right, title and interest in and to such Person’s Material Intellectual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Property that it owns, with no breaks in chain of title and with good and marketable title, free and clear of any Liens or Claims of any kind (other than Permitted Liens), and the applicable Obligor has the right to use such Material Intellectual Property in the ordinary course of its business as currently conducted and as anticipated to be conducted. Without limiting the foregoing, and except as set forth on </w:t>
      </w:r>
      <w:r>
        <w:rPr>
          <w:rFonts w:ascii="Times New Roman" w:hAnsi="Times New Roman"/>
          <w:b/>
          <w:sz w:val="20"/>
        </w:rPr>
        <w:t>Schedule 7.05(b)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other than as permitted by </w:t>
      </w:r>
      <w:r>
        <w:rPr>
          <w:rFonts w:ascii="Times New Roman" w:hAnsi="Times New Roman"/>
          <w:b/>
          <w:sz w:val="20"/>
        </w:rPr>
        <w:t>Sections 9.02</w:t>
      </w:r>
      <w:r>
        <w:rPr>
          <w:rFonts w:ascii="Times New Roman" w:hAnsi="Times New Roman"/>
          <w:sz w:val="20"/>
        </w:rPr>
        <w:t xml:space="preserve">,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 xml:space="preserve">9.09 </w:t>
      </w:r>
      <w:r>
        <w:rPr>
          <w:rFonts w:ascii="Times New Roman" w:hAnsi="Times New Roman"/>
          <w:sz w:val="20"/>
        </w:rPr>
        <w:t xml:space="preserve">or </w:t>
      </w:r>
      <w:r>
        <w:rPr>
          <w:rFonts w:ascii="Times New Roman" w:hAnsi="Times New Roman"/>
          <w:b/>
          <w:sz w:val="20"/>
        </w:rPr>
        <w:t>9.13</w:t>
      </w:r>
      <w:r>
        <w:rPr>
          <w:rFonts w:ascii="Times New Roman" w:hAnsi="Times New Roman"/>
          <w:sz w:val="20"/>
        </w:rPr>
        <w:t xml:space="preserve">, no Obligor has transferred ownership of any such Material Intellectual Property, in whole or in part, to any Person that is not an Obligor; </w:t>
      </w:r>
    </w:p>
    <w:p>
      <w:pPr>
        <w:pStyle w:val="TextBody"/>
        <w:bidi w:val="0"/>
        <w:spacing w:before="120" w:after="0"/>
        <w:jc w:val="left"/>
        <w:rPr>
          <w:rFonts w:ascii="Times New Roman" w:hAnsi="Times New Roman"/>
          <w:sz w:val="20"/>
        </w:rPr>
      </w:pPr>
      <w:r>
        <w:rPr>
          <w:rFonts w:ascii="Times New Roman" w:hAnsi="Times New Roman"/>
          <w:sz w:val="20"/>
        </w:rPr>
        <w:t xml:space="preserve">(B) other than (1) customary restrictions in inbound licenses of Intellectual Property, materials transfer agreements, development agreements, research agreements and non-disclosure agreements, in each case as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9.19</w:t>
      </w:r>
      <w:r>
        <w:rPr>
          <w:rFonts w:ascii="Times New Roman" w:hAnsi="Times New Roman"/>
          <w:sz w:val="20"/>
        </w:rPr>
        <w:t xml:space="preserve">, (2) licenses granted to any of the Obligors’ customers or development partners in the ordinary course of business or (3) as would have been or is expressly permitted by </w:t>
      </w:r>
      <w:r>
        <w:rPr>
          <w:rFonts w:ascii="Times New Roman" w:hAnsi="Times New Roman"/>
          <w:b/>
          <w:sz w:val="20"/>
        </w:rPr>
        <w:t>Sections 9.02</w:t>
      </w:r>
      <w:r>
        <w:rPr>
          <w:rFonts w:ascii="Times New Roman" w:hAnsi="Times New Roman"/>
          <w:sz w:val="20"/>
        </w:rPr>
        <w:t xml:space="preserve">, </w:t>
      </w:r>
      <w:r>
        <w:rPr>
          <w:rFonts w:ascii="Times New Roman" w:hAnsi="Times New Roman"/>
          <w:b/>
          <w:sz w:val="20"/>
        </w:rPr>
        <w:t>9.03</w:t>
      </w:r>
      <w:r>
        <w:rPr>
          <w:rFonts w:ascii="Times New Roman" w:hAnsi="Times New Roman"/>
          <w:sz w:val="20"/>
        </w:rPr>
        <w:t xml:space="preserve"> or </w:t>
      </w:r>
      <w:r>
        <w:rPr>
          <w:rFonts w:ascii="Times New Roman" w:hAnsi="Times New Roman"/>
          <w:b/>
          <w:sz w:val="20"/>
        </w:rPr>
        <w:t>9.09</w:t>
      </w:r>
      <w:r>
        <w:rPr>
          <w:rFonts w:ascii="Times New Roman" w:hAnsi="Times New Roman"/>
          <w:sz w:val="20"/>
        </w:rPr>
        <w:t xml:space="preserve">, there are no judgments, covenants not to sue, permits, grants, licenses, Liens (other than Permitted Liens), Claims, or other agreements or arrangements relating to any such Material Intellectual Property, that bind, obligate or otherwise restrict any Obligor with respect to any such Material Intellectual Property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(C) The use by any Obligor of any such Material Intellectual Property in such Person’s businesses as conducted as of the Closing Date and proposed to be conducted thereafter does not infringe, misappropriate or otherwise violate any valid and enforceable rights arising under the Intellectual Property of any other Person in a manner that, individually or in the aggregate,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(1) there are no pending or threatened in writing Claims against any Obligor asserted by any other Person relating to any such Material Intellectual Property, including any Claims of adverse ownership, invalidity, infringement, misappropriation, violation or other opposition to or conflict with such Material Intellectual Property; and (2) no Obligor has received any written notice from, or Claim by, any other Person asserting that the business of the Issuer or any of its Subsidiaries, or the use of any such Material Intellectual Property by the Issuer or any of its Subsidiaries materially infringes upon, violates or constitutes a misappropriation of, or may infringe upon, violate or constitute a misappropriation of any Intellectual Property of such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the Issuer, no such Material Intellectual Property is being infringed, violated, misappropriated or otherwise used by any other Person without the express authorization of an Obligor; and, without limiting the foregoing, no Obligor has provided any other Person with written notice of actual or potential infringement, violation or misappropriation of any such Material Intellectual Property, and no Obligor has initiated the enforcement of any Claim with respect to any such Material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(iv) With respect to the owned Material Intellectual Property of the Obligors and the exclusively in-licensed Material Intellectual Property consisting of Patents listed on </w:t>
      </w:r>
      <w:r>
        <w:rPr>
          <w:rFonts w:ascii="Times New Roman" w:hAnsi="Times New Roman"/>
          <w:b/>
          <w:sz w:val="20"/>
        </w:rPr>
        <w:t>Schedule 7.05(b)</w:t>
      </w:r>
      <w:r>
        <w:rPr>
          <w:rFonts w:ascii="Times New Roman" w:hAnsi="Times New Roman"/>
          <w:sz w:val="20"/>
        </w:rPr>
        <w:t xml:space="preserve">, except as set forth on </w:t>
      </w:r>
      <w:r>
        <w:rPr>
          <w:rFonts w:ascii="Times New Roman" w:hAnsi="Times New Roman"/>
          <w:b/>
          <w:sz w:val="20"/>
        </w:rPr>
        <w:t>Schedule 7.05(b)</w:t>
      </w:r>
      <w:r>
        <w:rPr>
          <w:rFonts w:ascii="Times New Roman" w:hAnsi="Times New Roman"/>
          <w:sz w:val="20"/>
        </w:rPr>
        <w:t xml:space="preserve">, and without limiting the representations and warranties in </w:t>
      </w:r>
      <w:r>
        <w:rPr>
          <w:rFonts w:ascii="Times New Roman" w:hAnsi="Times New Roman"/>
          <w:b/>
          <w:sz w:val="20"/>
        </w:rPr>
        <w:t>Section</w:t>
      </w:r>
      <w:r>
        <w:rPr>
          <w:rFonts w:ascii="Times New Roman" w:hAnsi="Times New Roman"/>
          <w:sz w:val="20"/>
        </w:rPr>
        <w:t> </w:t>
      </w:r>
      <w:r>
        <w:rPr>
          <w:rFonts w:ascii="Times New Roman" w:hAnsi="Times New Roman"/>
          <w:b/>
          <w:sz w:val="20"/>
        </w:rPr>
        <w:t>7.05(b)(iii)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the knowledge of the Issuer, each of the issued claims in such Patents is not invalid or unenforceable; </w:t>
      </w:r>
    </w:p>
    <w:p>
      <w:pPr>
        <w:pStyle w:val="TextBody"/>
        <w:bidi w:val="0"/>
        <w:spacing w:before="120" w:after="0"/>
        <w:jc w:val="left"/>
        <w:rPr>
          <w:rFonts w:ascii="Times New Roman" w:hAnsi="Times New Roman"/>
          <w:sz w:val="20"/>
        </w:rPr>
      </w:pPr>
      <w:r>
        <w:rPr>
          <w:rFonts w:ascii="Times New Roman" w:hAnsi="Times New Roman"/>
          <w:sz w:val="20"/>
        </w:rPr>
        <w:t xml:space="preserve">(B) each inventor named in such Patents has executed written Contracts with an Obligor (or a predecessor-in-interest) or the applicable licensor that properly and irrevocably assigns to the Issuer or such Subsidiary (or such predecessor-in-interest) all of such inventor’s rights, title and interest to any of the Inventions claimed in such Patents; </w:t>
      </w:r>
    </w:p>
    <w:p>
      <w:pPr>
        <w:pStyle w:val="TextBody"/>
        <w:bidi w:val="0"/>
        <w:spacing w:before="120" w:after="0"/>
        <w:jc w:val="left"/>
        <w:rPr>
          <w:rFonts w:ascii="Times New Roman" w:hAnsi="Times New Roman"/>
          <w:sz w:val="20"/>
        </w:rPr>
      </w:pPr>
      <w:r>
        <w:rPr>
          <w:rFonts w:ascii="Times New Roman" w:hAnsi="Times New Roman"/>
          <w:sz w:val="20"/>
        </w:rPr>
        <w:t xml:space="preserve">(C) all such Patents are in good standing and none of the Patents, or the Inventions claimed in any such Patent, have been dedicated to the public; </w:t>
      </w:r>
    </w:p>
    <w:p>
      <w:pPr>
        <w:pStyle w:val="TextBody"/>
        <w:bidi w:val="0"/>
        <w:spacing w:before="120" w:after="0"/>
        <w:jc w:val="left"/>
        <w:rPr>
          <w:rFonts w:ascii="Times New Roman" w:hAnsi="Times New Roman"/>
          <w:sz w:val="20"/>
        </w:rPr>
      </w:pPr>
      <w:r>
        <w:rPr>
          <w:rFonts w:ascii="Times New Roman" w:hAnsi="Times New Roman"/>
          <w:sz w:val="20"/>
        </w:rPr>
        <w:t xml:space="preserve">(D) all prior art known to the Issuer and reasonably believed to be material to such Patents was adequately disclosed, to the extent such disclosure is required, to the relevant patent office or, considered by the respective patent offices during prosecution of such Patents; </w:t>
      </w:r>
    </w:p>
    <w:p>
      <w:pPr>
        <w:pStyle w:val="TextBody"/>
        <w:bidi w:val="0"/>
        <w:spacing w:before="120" w:after="0"/>
        <w:jc w:val="left"/>
        <w:rPr>
          <w:rFonts w:ascii="Times New Roman" w:hAnsi="Times New Roman"/>
          <w:sz w:val="20"/>
        </w:rPr>
      </w:pPr>
      <w:r>
        <w:rPr>
          <w:rFonts w:ascii="Times New Roman" w:hAnsi="Times New Roman"/>
          <w:sz w:val="20"/>
        </w:rPr>
        <w:t xml:space="preserve">(E) subsequent to the issuance of such Patents, none of the Obligors nor licensors, as applicable, nor any of their respective predecessors-in-interest, has filed any disclaimer or made or permitted any other voluntary reduction in the scope of the Inventions claimed in such Patents; </w:t>
      </w:r>
    </w:p>
    <w:p>
      <w:pPr>
        <w:pStyle w:val="TextBody"/>
        <w:bidi w:val="0"/>
        <w:spacing w:before="120" w:after="0"/>
        <w:jc w:val="left"/>
        <w:rPr>
          <w:rFonts w:ascii="Times New Roman" w:hAnsi="Times New Roman"/>
          <w:sz w:val="20"/>
        </w:rPr>
      </w:pPr>
      <w:r>
        <w:rPr>
          <w:rFonts w:ascii="Times New Roman" w:hAnsi="Times New Roman"/>
          <w:sz w:val="20"/>
        </w:rPr>
        <w:t xml:space="preserve">(F) no subject matter designated allowable or allowed by the U.S. Patent and Trademark Office with respect to such Patents is subject to any competing conception claims of allowable or allowed subject matter of any patent applications or patents of any third party, and such Patents have not been the subject of any interference, re-examination, opposition, </w:t>
      </w:r>
      <w:r>
        <w:rPr>
          <w:rFonts w:ascii="Times New Roman" w:hAnsi="Times New Roman"/>
          <w:i/>
          <w:sz w:val="20"/>
        </w:rPr>
        <w:t>inter partes</w:t>
      </w:r>
      <w:r>
        <w:rPr>
          <w:rFonts w:ascii="Times New Roman" w:hAnsi="Times New Roman"/>
          <w:sz w:val="20"/>
        </w:rPr>
        <w:t xml:space="preserve"> review, post-grant review, or any other post-grant proceedings, and no Obligor has any knowledge of any basis for any such proceedings; </w:t>
      </w:r>
    </w:p>
    <w:p>
      <w:pPr>
        <w:pStyle w:val="TextBody"/>
        <w:bidi w:val="0"/>
        <w:spacing w:before="120" w:after="0"/>
        <w:jc w:val="left"/>
        <w:rPr>
          <w:rFonts w:ascii="Times New Roman" w:hAnsi="Times New Roman"/>
          <w:sz w:val="20"/>
        </w:rPr>
      </w:pPr>
      <w:r>
        <w:rPr>
          <w:rFonts w:ascii="Times New Roman" w:hAnsi="Times New Roman"/>
          <w:sz w:val="20"/>
        </w:rPr>
        <w:t xml:space="preserve">(G) no such Patents have ever been finally adjudicated to be invalid, unpatentable or unenforceable for any reason in any administrative, arbitration, judicial or other proceeding, and, with the exception of publicly available documents in the applicable patent office recorded with respect to any Patents, no Obligor has received any written notice asserting that such Patents are invalid, unpatentable or unenforceable; if any of such Patents is terminally disclaimed to another patent or patent application, all patents and patent applications subject to such terminal disclaimer are included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(H) no Obligor has received an opinion directly from counsel or through its licensor, whether preliminary in nature or qualified in any manner, that concludes that a challenge to the validity or enforceability of any such Patents is more likely than not to succeed; </w:t>
      </w:r>
    </w:p>
    <w:p>
      <w:pPr>
        <w:pStyle w:val="TextBody"/>
        <w:bidi w:val="0"/>
        <w:spacing w:before="120" w:after="0"/>
        <w:jc w:val="left"/>
        <w:rPr>
          <w:rFonts w:ascii="Times New Roman" w:hAnsi="Times New Roman"/>
          <w:sz w:val="20"/>
        </w:rPr>
      </w:pPr>
      <w:r>
        <w:rPr>
          <w:rFonts w:ascii="Times New Roman" w:hAnsi="Times New Roman"/>
          <w:sz w:val="20"/>
        </w:rPr>
        <w:t xml:space="preserve">(I) (i) no Obligor, nor, to the knowledge of the Issuer, any of their respective agents or representatives, nor any licensor, has engaged in any conduct, or omitted to perform any necessary act, the result of which would invalidate or render unpatentable or unenforceable any such Patent and (ii) to the Issuer’s knowledge, no prior owner of any such Patent of the Issuer or any of its Subsidiaries, nor any of such prior owner’s agents or representatives, has engaged in any conduct, or omitted to perform any necessary act, the result of which would invalidate or render unpatentable or unenforceable any such Patent;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all maintenance fees, annuities, and the like due or payable on or with respect to any such Patents have been timely paid or, any failure to so pay would not, individually or in the aggregate,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(v) All current and former employees and contractors who have developed Material Intellectual Property for or on behalf of the Obligors have executed written and valid confidentiality and invention assignment Contracts with the Obligors that irrevocably assign to the Obligors all rights of such employees and contractors in or to any such Material Intellectual Property and no such employee or contractor has excluded any rights in respect of such Material Intellectual Property from such assignment that are material to the Obligors in the conduct of their business as now conducted or currently proposed to be conducted. The Issuer is not aware that any current or former employee or contractor is in violation of any such confidentiality or invention assignment agreement. </w:t>
      </w:r>
    </w:p>
    <w:p>
      <w:pPr>
        <w:pStyle w:val="TextBody"/>
        <w:bidi w:val="0"/>
        <w:spacing w:before="120" w:after="0"/>
        <w:jc w:val="left"/>
        <w:rPr>
          <w:rFonts w:ascii="Times New Roman" w:hAnsi="Times New Roman"/>
          <w:sz w:val="20"/>
        </w:rPr>
      </w:pPr>
      <w:r>
        <w:rPr>
          <w:rFonts w:ascii="Times New Roman" w:hAnsi="Times New Roman"/>
          <w:sz w:val="20"/>
        </w:rPr>
        <w:t xml:space="preserve">(vi) The Obligors and their Subsidiaries have taken commercially reasonable precautions to protect the secrecy, confidentiality and value of their Material Intellectual Property consisting of trade secrets and confidential information, including unregistered Intellectual Property material to their respective businesses and there has been no Security Incident in the last three (3) years with respect to any Material Intellectual Property that would individually or in the aggregate,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b/>
          <w:sz w:val="20"/>
        </w:rPr>
        <w:t>7.06</w:t>
      </w:r>
      <w:r>
        <w:rPr>
          <w:rFonts w:ascii="Times New Roman" w:hAnsi="Times New Roman"/>
          <w:sz w:val="20"/>
        </w:rPr>
        <w:t xml:space="preserve"> </w:t>
      </w:r>
      <w:r>
        <w:rPr>
          <w:rFonts w:ascii="Times New Roman" w:hAnsi="Times New Roman"/>
          <w:b/>
          <w:sz w:val="20"/>
        </w:rPr>
        <w:t>No Actions or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Litigation</w:t>
      </w:r>
      <w:r>
        <w:rPr>
          <w:rFonts w:ascii="Times New Roman" w:hAnsi="Times New Roman"/>
          <w:sz w:val="20"/>
        </w:rPr>
        <w:t xml:space="preserve">. Except as set forth on </w:t>
      </w:r>
      <w:r>
        <w:rPr>
          <w:rFonts w:ascii="Times New Roman" w:hAnsi="Times New Roman"/>
          <w:b/>
          <w:sz w:val="20"/>
        </w:rPr>
        <w:t>Schedule 7.06(a)</w:t>
      </w:r>
      <w:r>
        <w:rPr>
          <w:rFonts w:ascii="Times New Roman" w:hAnsi="Times New Roman"/>
          <w:sz w:val="20"/>
        </w:rPr>
        <w:t xml:space="preserve">, there is no litigation, investigation or proceeding pending or, to the knowledge of the Issuer, threatened in writing, with respect to the Issuer or any of its Subsidiaries by or before any Governmental Authority or arbitrator that (i) would, individually or in the aggregate, reasonably be expected to result in an Event of Default, a Material Adverse Change or a Material Regulatory Event or (ii) involves this Agreement, any other Notes Document, the Transactions or any Material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Environmental Matters</w:t>
      </w:r>
      <w:r>
        <w:rPr>
          <w:rFonts w:ascii="Times New Roman" w:hAnsi="Times New Roman"/>
          <w:sz w:val="20"/>
        </w:rPr>
        <w:t xml:space="preserve">. The operations and property of the Issuer and each of its Subsidiaries comply with all applicable Environmental Laws, except to the extent the failure to so comply (either individually or in the aggregate) would not reasonably be expected to result in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Labor Matters</w:t>
      </w:r>
      <w:r>
        <w:rPr>
          <w:rFonts w:ascii="Times New Roman" w:hAnsi="Times New Roman"/>
          <w:sz w:val="20"/>
        </w:rPr>
        <w:t xml:space="preserve">. There are no strikes, lockouts or other labor disputes against any Obligor or any of its Subsidiaries or, to the Issuer’s knowledge, threatened in writing against or affecting such Obligor or any of its Subsidiaries, and no unfair labor practice complaint is pending against the Issuer or any Subsidiary or, to the knowledge of the Issuer, threatened in writing against any of them before any Governmental Authority, in each case, that would reasonably be expected to result in a Material Adverse Effect. Except as set forth on </w:t>
      </w:r>
      <w:r>
        <w:rPr>
          <w:rFonts w:ascii="Times New Roman" w:hAnsi="Times New Roman"/>
          <w:b/>
          <w:sz w:val="20"/>
        </w:rPr>
        <w:t>Schedule</w:t>
      </w:r>
      <w:r>
        <w:rPr>
          <w:rFonts w:ascii="Times New Roman" w:hAnsi="Times New Roman"/>
          <w:sz w:val="20"/>
        </w:rPr>
        <w:t> </w:t>
      </w:r>
      <w:r>
        <w:rPr>
          <w:rFonts w:ascii="Times New Roman" w:hAnsi="Times New Roman"/>
          <w:b/>
          <w:sz w:val="20"/>
        </w:rPr>
        <w:t>7.06(c)</w:t>
      </w:r>
      <w:r>
        <w:rPr>
          <w:rFonts w:ascii="Times New Roman" w:hAnsi="Times New Roman"/>
          <w:sz w:val="20"/>
        </w:rPr>
        <w:t xml:space="preserve">, neither the Issuer nor any of its Subsidiaries (i) is a party to any collective bargaining agreements or similar Contracts, (ii) no union representation exists on any facilities of the Issuer or any of its Subsidiaries and (iii) the Issuer and its Subsidiaries do not have any knowledge of any union organizing activities that are taking place, in each case of this </w:t>
      </w:r>
      <w:r>
        <w:rPr>
          <w:rFonts w:ascii="Times New Roman" w:hAnsi="Times New Roman"/>
          <w:b/>
          <w:sz w:val="20"/>
        </w:rPr>
        <w:t>clause (iii)</w:t>
      </w:r>
      <w:r>
        <w:rPr>
          <w:rFonts w:ascii="Times New Roman" w:hAnsi="Times New Roman"/>
          <w:sz w:val="20"/>
        </w:rPr>
        <w:t xml:space="preserve">,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7.07</w:t>
      </w:r>
      <w:r>
        <w:rPr>
          <w:rFonts w:ascii="Times New Roman" w:hAnsi="Times New Roman"/>
          <w:sz w:val="20"/>
        </w:rPr>
        <w:t xml:space="preserve"> </w:t>
      </w:r>
      <w:r>
        <w:rPr>
          <w:rFonts w:ascii="Times New Roman" w:hAnsi="Times New Roman"/>
          <w:b/>
          <w:sz w:val="20"/>
        </w:rPr>
        <w:t>Compliance with Laws and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Obligor and its Subsidiaries is in compliance with all applicable Laws and all Contracts binding upon it or its property, except where the failure to so comply, individually or in the aggregate, would not reasonably be expected to result in a Material Adverse Effect. No Default has occurred and is continuing as of the date hereof, or will occur as a result of the issuance of any Notes hereunder.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generality of the foregoing, (i) each Obligor and its Subsidiaries is and, during the past four (4) years, have been in material compliance with all applicable Healthcare Laws and Healthcare Permits, and (ii) during the past two (2) years no Obligor nor any of its Subsidiaries has received written notice by a Governmental Authority of any material violation (or of any investigation, audit, or other proceeding involving allegations of any violation) of any Healthcare Laws, and no such investigation, inspection, audit or other proceeding involving allegations of any such violation has been, to the knowledge of the Issuer, threatened in writing. No Obligor or Subsidiary is a party to or has any ongoing reporting obligations pursuant to, any corporate integrity agreements, deferred or non-prosecution agreements, monitoring agreements, consent decrees, settlement orders, plans of correction, or similar agreements with or imposed by a Governmental Authority. No Obligor, its Subsidiaries or, to the knowledge of the Issuer, none of its officers, employees, agents, or contractors (while employed or engaged by an Obligor or Subsidiary) is or has been: (i) debarred, excluded or suspended from participating in any federal health care program, (ii) subject to a civil monetary penalty assessed under Section 1128A of the Social Security Act or (iii) listed on the General Services Administration published list of parties excluded from federal procurement programs and non-procurement programs. </w:t>
      </w:r>
    </w:p>
    <w:p>
      <w:pPr>
        <w:pStyle w:val="TextBody"/>
        <w:bidi w:val="0"/>
        <w:spacing w:before="120" w:after="0"/>
        <w:jc w:val="left"/>
        <w:rPr>
          <w:rFonts w:ascii="Times New Roman" w:hAnsi="Times New Roman"/>
          <w:sz w:val="20"/>
        </w:rPr>
      </w:pPr>
      <w:r>
        <w:rPr>
          <w:rFonts w:ascii="Times New Roman" w:hAnsi="Times New Roman"/>
          <w:sz w:val="20"/>
        </w:rPr>
        <w:t xml:space="preserve">(c) All development and commercialization of the Obligors’ and their Subsidiaries’ products (including the Product Commercialization and Development Activities) and all such products comply in all material respects with all applicable Healthcare Laws, including those of the FDA and each other applicable Governmental Authority, whether U.S. or non-U.S., and all Healthcare Permits; </w:t>
      </w:r>
    </w:p>
    <w:p>
      <w:pPr>
        <w:pStyle w:val="TextBody"/>
        <w:bidi w:val="0"/>
        <w:spacing w:before="120" w:after="0"/>
        <w:jc w:val="left"/>
        <w:rPr>
          <w:rFonts w:ascii="Times New Roman" w:hAnsi="Times New Roman"/>
          <w:sz w:val="20"/>
        </w:rPr>
      </w:pPr>
      <w:r>
        <w:rPr>
          <w:rFonts w:ascii="Times New Roman" w:hAnsi="Times New Roman"/>
          <w:sz w:val="20"/>
        </w:rPr>
        <w:t xml:space="preserve">(d) None of the Obligors, their Subsidiaries or, to the knowledge of the Issuer, any of their respective agents, suppliers, licensors or licensees has received any adverse inspection report, warning letter or similar notices with respect to any Product Commercialization and Development Activities from any Governmental Authority within the last four (4) years asserting lack of compliance with any applicable Law, including Healthcare Laws, or Healthcare Permits or other orders, injunctions, or decrees in any material respect. Without limiting the foregoing, no manufacturing facility of any Obligor or any of its Subsidiaries or, to the knowledge of the Issuer, any contract manufacturer has, within the last four (4) years, been subject to any shutdown, suspension of manufacturing operations, import alert, export prohibition or similar enforcement action by any Governmental Authority that remains unresolved or would reasonably be expected to result in a Material Adverse Effect. To the knowledge of the Issuer, no Governmental Authority has threatened in writing to take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(e) Within the last two (2) years, no product has been the subject of any recall, safety alert, reportable field correction, market withdrawal, suspension, revocation or similar material regulatory action, whether voluntary or at the request, demand or order of any Governmental Authority, that remains unresolved or would reasonably be expected to result in a Material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No Governmental Authority has, within the last four (4) years, requested, ordered or demanded any such action that remains unresolved or would reasonably be expected to result in a Material Adverse Effect, and, to the knowledge of the Issuer, no Governmental Authority has threatened in writing to take any such action. </w:t>
      </w:r>
    </w:p>
    <w:p>
      <w:pPr>
        <w:pStyle w:val="TextBody"/>
        <w:bidi w:val="0"/>
        <w:spacing w:before="120" w:after="0"/>
        <w:jc w:val="left"/>
        <w:rPr>
          <w:rFonts w:ascii="Times New Roman" w:hAnsi="Times New Roman"/>
          <w:sz w:val="20"/>
        </w:rPr>
      </w:pPr>
      <w:r>
        <w:rPr>
          <w:rFonts w:ascii="Times New Roman" w:hAnsi="Times New Roman"/>
          <w:b/>
          <w:sz w:val="20"/>
        </w:rPr>
        <w:t>7.08</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Except as set forth on </w:t>
      </w:r>
      <w:r>
        <w:rPr>
          <w:rFonts w:ascii="Times New Roman" w:hAnsi="Times New Roman"/>
          <w:b/>
          <w:sz w:val="20"/>
        </w:rPr>
        <w:t>Schedule 7.08</w:t>
      </w:r>
      <w:r>
        <w:rPr>
          <w:rFonts w:ascii="Times New Roman" w:hAnsi="Times New Roman"/>
          <w:sz w:val="20"/>
        </w:rPr>
        <w:t xml:space="preserve">, each Obligor and each of its Subsidiaries has timely filed or caused to be filed all income tax returns and other tax returns and reports required to have been filed and has paid or caused to be paid all material Taxes required to have been paid by it, except for Taxes that are being contested in good faith by appropriate proceedings and for which, in each case, the Issuer or such Subsidiary, as applicable, has set aside on its books adequate reserves with respect thereto in accordance with GAAP. </w:t>
      </w:r>
    </w:p>
    <w:p>
      <w:pPr>
        <w:pStyle w:val="TextBody"/>
        <w:bidi w:val="0"/>
        <w:spacing w:before="120" w:after="0"/>
        <w:jc w:val="left"/>
        <w:rPr>
          <w:rFonts w:ascii="Times New Roman" w:hAnsi="Times New Roman"/>
          <w:sz w:val="20"/>
        </w:rPr>
      </w:pPr>
      <w:r>
        <w:rPr>
          <w:rFonts w:ascii="Times New Roman" w:hAnsi="Times New Roman"/>
          <w:b/>
          <w:sz w:val="20"/>
        </w:rPr>
        <w:t>7.09</w:t>
      </w:r>
      <w:r>
        <w:rPr>
          <w:rFonts w:ascii="Times New Roman" w:hAnsi="Times New Roman"/>
          <w:sz w:val="20"/>
        </w:rPr>
        <w:t xml:space="preserve"> </w:t>
      </w:r>
      <w:r>
        <w:rPr>
          <w:rFonts w:ascii="Times New Roman" w:hAnsi="Times New Roman"/>
          <w:b/>
          <w:sz w:val="20"/>
        </w:rPr>
        <w:t>Full Disclosure</w:t>
      </w:r>
      <w:r>
        <w:rPr>
          <w:rFonts w:ascii="Times New Roman" w:hAnsi="Times New Roman"/>
          <w:sz w:val="20"/>
        </w:rPr>
        <w:t xml:space="preserve">. None of the reports, financial statements, certificates or other information furnished by or on behalf of the Obligors to the Administrative Agent or any Noteholder in connection with the negotiation of this Agreement and the other Notes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materially misleading as of the Closing Date or at the time furnished; </w:t>
      </w:r>
      <w:r>
        <w:rPr>
          <w:rFonts w:ascii="Times New Roman" w:hAnsi="Times New Roman"/>
          <w:sz w:val="20"/>
          <w:u w:val="single"/>
        </w:rPr>
        <w:t>provided</w:t>
      </w:r>
      <w:r>
        <w:rPr>
          <w:rFonts w:ascii="Times New Roman" w:hAnsi="Times New Roman"/>
          <w:sz w:val="20"/>
        </w:rPr>
        <w:t xml:space="preserve"> that, with respect to projected financial information, the Issuer represents only that such information was prepared in good faith based upon assumptions believed to be reasonable at the time (it being understood by the Administrative Agent and the Noteholders that such projected financial information is not to be viewed as facts or guaranty of performance of achievement of a certain result, and that no assurances can be given that any particular projections will be realized and that actual results during the period or periods covered by any such projections may differ from the projected results and such differences may be material). In respect of any Certificate of Title or any Material Real Property Report, the information supplied by or on behalf of the Obligors to the lawyers who prepared that Certificate of Title or Material Real Property Report for the purpose of that Certificate of Title or Material Real Property Report was true, complete and accurate in all material respects as at the date of that Certificate of Title or Material Real Property Report or (if appropriate) as at the date (if any) at which it is stated to be given and did not omit any information which, if disclosed, would make that information untrue or misleading in any material respect. </w:t>
      </w:r>
    </w:p>
    <w:p>
      <w:pPr>
        <w:pStyle w:val="TextBody"/>
        <w:bidi w:val="0"/>
        <w:spacing w:before="12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rPr>
        <w:t>Investment Company Act and Margin Stock Regulation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Investment Company Act</w:t>
      </w:r>
      <w:r>
        <w:rPr>
          <w:rFonts w:ascii="Times New Roman" w:hAnsi="Times New Roman"/>
          <w:sz w:val="20"/>
        </w:rPr>
        <w:t xml:space="preserve">. No Obligor nor any of its Subsidiaries is an “investment company” as defined in, or subject to regulation under,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Margin Stock</w:t>
      </w:r>
      <w:r>
        <w:rPr>
          <w:rFonts w:ascii="Times New Roman" w:hAnsi="Times New Roman"/>
          <w:sz w:val="20"/>
        </w:rPr>
        <w:t xml:space="preserve">. No Obligor nor any of its Subsidiaries is engaged principally, or as one of its important activities, in the business of extending credit for the purpose, whether immediate, incidental or ultimate, of buying or carrying Margin Stock, and no part of the proceeds of the Notes will be used to buy or carry any Margin Stock in violation of Regulation T, Regulation U or Regulation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The Obligors and their Subsidiaries, on a consolidated basis, are, and, immediately after giving effect to the issuance of any Notes on such date, and the use of proceeds thereof, will be Solvent. </w:t>
      </w:r>
    </w:p>
    <w:p>
      <w:pPr>
        <w:pStyle w:val="TextBody"/>
        <w:bidi w:val="0"/>
        <w:spacing w:before="12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rPr>
        <w:t>Equity Holders, Subsidiaries and Other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Set forth on </w:t>
      </w:r>
      <w:r>
        <w:rPr>
          <w:rFonts w:ascii="Times New Roman" w:hAnsi="Times New Roman"/>
          <w:b/>
          <w:sz w:val="20"/>
        </w:rPr>
        <w:t>Schedule 7.12(a)</w:t>
      </w:r>
      <w:r>
        <w:rPr>
          <w:rFonts w:ascii="Times New Roman" w:hAnsi="Times New Roman"/>
          <w:sz w:val="20"/>
        </w:rPr>
        <w:t xml:space="preserve"> is a complete and correct list of all direct and indirect Subsidiaries of the Issuer. Each such Subsidiary is duly organized or incorporated, as applicable and validly existing under the jurisdiction of its organization or incorporation, as applicable shown in </w:t>
      </w:r>
      <w:r>
        <w:rPr>
          <w:rFonts w:ascii="Times New Roman" w:hAnsi="Times New Roman"/>
          <w:b/>
          <w:sz w:val="20"/>
        </w:rPr>
        <w:t>Schedule 7.12(a)</w:t>
      </w:r>
      <w:r>
        <w:rPr>
          <w:rFonts w:ascii="Times New Roman" w:hAnsi="Times New Roman"/>
          <w:sz w:val="20"/>
        </w:rPr>
        <w:t xml:space="preserve">, and the percentage ownership by each Obligor of each such Subsidiary thereof is as shown in </w:t>
      </w:r>
      <w:r>
        <w:rPr>
          <w:rFonts w:ascii="Times New Roman" w:hAnsi="Times New Roman"/>
          <w:b/>
          <w:sz w:val="20"/>
        </w:rPr>
        <w:t>Schedule 7.12(a)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Set forth on </w:t>
      </w:r>
      <w:r>
        <w:rPr>
          <w:rFonts w:ascii="Times New Roman" w:hAnsi="Times New Roman"/>
          <w:b/>
          <w:sz w:val="20"/>
        </w:rPr>
        <w:t>Schedule 7.12(b)</w:t>
      </w:r>
      <w:r>
        <w:rPr>
          <w:rFonts w:ascii="Times New Roman" w:hAnsi="Times New Roman"/>
          <w:sz w:val="20"/>
        </w:rPr>
        <w:t xml:space="preserve"> is a complete and correct list of all other Equity Interests owned or held by the Issuer or any of its direct or indirect Subsidiaries in any Person that does not qualify as a direct or indirect Subsidiary of the Issuer. </w:t>
      </w:r>
      <w:r>
        <w:rPr>
          <w:rFonts w:ascii="Times New Roman" w:hAnsi="Times New Roman"/>
          <w:b/>
          <w:sz w:val="20"/>
        </w:rPr>
        <w:t>Schedule 7.12(b)</w:t>
      </w:r>
      <w:r>
        <w:rPr>
          <w:rFonts w:ascii="Times New Roman" w:hAnsi="Times New Roman"/>
          <w:sz w:val="20"/>
        </w:rPr>
        <w:t xml:space="preserve"> also sets forth, in reasonable detail, the type of Equity Interest held by the Issuer or any of its direct or indirect Subsidiaries in such other Person and the fully-diluted percentage ownership held beneficially by the Issuer or one or more of its Subsidiaries, as the case may be, in such other Person. </w:t>
      </w:r>
    </w:p>
    <w:p>
      <w:pPr>
        <w:pStyle w:val="TextBody"/>
        <w:bidi w:val="0"/>
        <w:spacing w:before="120" w:after="0"/>
        <w:jc w:val="left"/>
        <w:rPr>
          <w:rFonts w:ascii="Times New Roman" w:hAnsi="Times New Roman"/>
          <w:sz w:val="20"/>
        </w:rPr>
      </w:pPr>
      <w:r>
        <w:rPr>
          <w:rFonts w:ascii="Times New Roman" w:hAnsi="Times New Roman"/>
          <w:b/>
          <w:sz w:val="20"/>
        </w:rPr>
        <w:t>7.13</w:t>
      </w:r>
      <w:r>
        <w:rPr>
          <w:rFonts w:ascii="Times New Roman" w:hAnsi="Times New Roman"/>
          <w:sz w:val="20"/>
        </w:rPr>
        <w:t xml:space="preserve"> </w:t>
      </w:r>
      <w:r>
        <w:rPr>
          <w:rFonts w:ascii="Times New Roman" w:hAnsi="Times New Roman"/>
          <w:b/>
          <w:sz w:val="20"/>
        </w:rPr>
        <w:t>Continuing Indebtedness</w:t>
      </w:r>
      <w:r>
        <w:rPr>
          <w:rFonts w:ascii="Times New Roman" w:hAnsi="Times New Roman"/>
          <w:sz w:val="20"/>
        </w:rPr>
        <w:t xml:space="preserve">. Set forth on </w:t>
      </w:r>
      <w:r>
        <w:rPr>
          <w:rFonts w:ascii="Times New Roman" w:hAnsi="Times New Roman"/>
          <w:b/>
          <w:sz w:val="20"/>
        </w:rPr>
        <w:t>Schedule 7.13</w:t>
      </w:r>
      <w:r>
        <w:rPr>
          <w:rFonts w:ascii="Times New Roman" w:hAnsi="Times New Roman"/>
          <w:sz w:val="20"/>
        </w:rPr>
        <w:t xml:space="preserve"> is a complete and correct list of all Indebtedness of the Issuer and each of its Subsidiaries outstanding as of the date hereof that will remain outstanding immediately after the issuing of the Notes and the application of proceeds therefrom on the Closing Date, and notes with respect to each such item of Indebtedness whether it is secured by a Lien on assets or property of the Issuer or any of its Subsidiaries. </w:t>
      </w:r>
    </w:p>
    <w:p>
      <w:pPr>
        <w:pStyle w:val="TextBody"/>
        <w:bidi w:val="0"/>
        <w:spacing w:before="12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rPr>
        <w:t>Material Agreements</w:t>
      </w:r>
      <w:r>
        <w:rPr>
          <w:rFonts w:ascii="Times New Roman" w:hAnsi="Times New Roman"/>
          <w:sz w:val="20"/>
        </w:rPr>
        <w:t xml:space="preserve">. Except as set forth on </w:t>
      </w:r>
      <w:r>
        <w:rPr>
          <w:rFonts w:ascii="Times New Roman" w:hAnsi="Times New Roman"/>
          <w:b/>
          <w:sz w:val="20"/>
        </w:rPr>
        <w:t>Schedule 7.14</w:t>
      </w:r>
      <w:r>
        <w:rPr>
          <w:rFonts w:ascii="Times New Roman" w:hAnsi="Times New Roman"/>
          <w:sz w:val="20"/>
        </w:rPr>
        <w:t xml:space="preserve">, as of the Closing Date, all Material Agreements have been publicly disclosed and accurate and complete copies of each Contract disclosed on such schedule (or publicly disclosed Contracts that are redacted) have been made available to the Administrative Agent. No Obligor nor any of its Subsidiaries is in Default (or equivalent term under such agreement) under any such Material Agreement, no Obligor has knowledge of any material default by any counterparty to any such Material Agreement and there are no pending or, to any Obligor’s knowledge, threatened material adverse Claims against any Obligor or any of its Subsidiaries relating to any such Material Agreement, including any Claims of breach or default thereunder. </w:t>
      </w:r>
    </w:p>
    <w:p>
      <w:pPr>
        <w:pStyle w:val="TextBody"/>
        <w:bidi w:val="0"/>
        <w:spacing w:before="12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rPr>
        <w:t>Restrictive Agreements</w:t>
      </w:r>
      <w:r>
        <w:rPr>
          <w:rFonts w:ascii="Times New Roman" w:hAnsi="Times New Roman"/>
          <w:sz w:val="20"/>
        </w:rPr>
        <w:t xml:space="preserve">. Except as set forth on </w:t>
      </w:r>
      <w:r>
        <w:rPr>
          <w:rFonts w:ascii="Times New Roman" w:hAnsi="Times New Roman"/>
          <w:b/>
          <w:sz w:val="20"/>
        </w:rPr>
        <w:t>Schedule 7.15</w:t>
      </w:r>
      <w:r>
        <w:rPr>
          <w:rFonts w:ascii="Times New Roman" w:hAnsi="Times New Roman"/>
          <w:sz w:val="20"/>
        </w:rPr>
        <w:t xml:space="preserve">, no Obligor nor any of its Subsidiaries is subject to any Restrictive Agreement, except those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rPr>
        <w:t>Real Property</w:t>
      </w:r>
      <w:r>
        <w:rPr>
          <w:rFonts w:ascii="Times New Roman" w:hAnsi="Times New Roman"/>
          <w:sz w:val="20"/>
        </w:rPr>
        <w:t xml:space="preserve">. Except as set forth on </w:t>
      </w:r>
      <w:r>
        <w:rPr>
          <w:rFonts w:ascii="Times New Roman" w:hAnsi="Times New Roman"/>
          <w:b/>
          <w:sz w:val="20"/>
        </w:rPr>
        <w:t>Schedule 7.16</w:t>
      </w:r>
      <w:r>
        <w:rPr>
          <w:rFonts w:ascii="Times New Roman" w:hAnsi="Times New Roman"/>
          <w:sz w:val="20"/>
        </w:rPr>
        <w:t xml:space="preserve">, no Obligor nor any of its Subsidiaries owns or leases (as a tenant) any real property. </w:t>
      </w:r>
    </w:p>
    <w:p>
      <w:pPr>
        <w:pStyle w:val="TextBody"/>
        <w:bidi w:val="0"/>
        <w:spacing w:before="120" w:after="0"/>
        <w:jc w:val="left"/>
        <w:rPr>
          <w:rFonts w:ascii="Times New Roman" w:hAnsi="Times New Roman"/>
          <w:sz w:val="20"/>
        </w:rPr>
      </w:pPr>
      <w:r>
        <w:rPr>
          <w:rFonts w:ascii="Times New Roman" w:hAnsi="Times New Roman"/>
          <w:b/>
          <w:sz w:val="20"/>
        </w:rPr>
        <w:t>7.17</w:t>
      </w:r>
      <w:r>
        <w:rPr>
          <w:rFonts w:ascii="Times New Roman" w:hAnsi="Times New Roman"/>
          <w:sz w:val="20"/>
        </w:rPr>
        <w:t xml:space="preserve"> </w:t>
      </w:r>
      <w:r>
        <w:rPr>
          <w:rFonts w:ascii="Times New Roman" w:hAnsi="Times New Roman"/>
          <w:b/>
          <w:sz w:val="20"/>
        </w:rPr>
        <w:t>Pension Matters</w:t>
      </w:r>
      <w:r>
        <w:rPr>
          <w:rFonts w:ascii="Times New Roman" w:hAnsi="Times New Roman"/>
          <w:sz w:val="20"/>
        </w:rPr>
        <w:t xml:space="preserve">. Except as, individually or in the aggregate, would not reasonably be expected to result in a Material Adverse Effect, (a) each Benefit Plan, and each trust thereunder, intended to qualify for tax-qualified status or tax-exempt status under Section 401 or 501 of the Code or other applicable Law so qualifies or is so exempt and nothing has occurred that would reasonably be expected to cause the loss of such tax-qualified or tax-exempt status, (b) each Benefit Plan and Foreign Pension Plan is in compliance with all applicable provisions of ERISA, the Code or other applicable Law, (c) no ERISA Event has occurred or is reasonably expected to occur,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each of its Subsidiaries and each of their ERISA Affiliates have met all applicable requirements under the ERISA Funding Rules with respect to each Title IV Plan, and no waiver of the minimum funding standards under the ERISA Funding Rules has been applied for or obtained, (e) as of the most recent valuation date for any Title IV Plan, the funding target attainment percentage (as defined in Section 430(d)(2) of the Code) is at least sixty percent (60%), and none of the Issuer, any of its Subsidiaries nor any of their ERISA Affiliates knows of any facts or circumstances that could reasonably be expected to cause the funding target attainment percentage to fall below sixty percent (60%) as of the most recent valuation date and (f) none of the Issuer, its Subsidiaries or any of their ERISA Affiliates has or would have any Withdrawal Liability as a result of a complete or partial withdrawal from any Multiemployer Plan on the date this representation is made or deemed made. </w:t>
      </w:r>
    </w:p>
    <w:p>
      <w:pPr>
        <w:pStyle w:val="TextBody"/>
        <w:bidi w:val="0"/>
        <w:spacing w:before="240" w:after="0"/>
        <w:jc w:val="left"/>
        <w:rPr>
          <w:rFonts w:ascii="Times New Roman" w:hAnsi="Times New Roman"/>
          <w:sz w:val="20"/>
        </w:rPr>
      </w:pPr>
      <w:r>
        <w:rPr>
          <w:rFonts w:ascii="Times New Roman" w:hAnsi="Times New Roman"/>
          <w:sz w:val="20"/>
        </w:rPr>
        <w:t>No Obligor, nor any of its Subsidiaries, nor any of their respective Affiliates: (i) is or has at any time been an “employer” (for the purposes of sections 38 to 51 of the UK Pensions Act 2004) of an “occupational pension scheme” which is not a “money purchase scheme” (both terms as defined in the UK Pension Schemes Act 1993) (any such scheme being a “</w:t>
      </w:r>
      <w:r>
        <w:rPr>
          <w:rFonts w:ascii="Times New Roman" w:hAnsi="Times New Roman"/>
          <w:b/>
          <w:sz w:val="20"/>
        </w:rPr>
        <w:t>UK DB Plan</w:t>
      </w:r>
      <w:r>
        <w:rPr>
          <w:rFonts w:ascii="Times New Roman" w:hAnsi="Times New Roman"/>
          <w:sz w:val="20"/>
        </w:rPr>
        <w:t xml:space="preserve">”); (ii) is, or has in the last six years been, “connected with” or an “associate of” (as those terms are used in sections 38 and 43 of the UK Pensions Act 2004) such an “employer”; (iii) nor otherwise owes or is reasonably expected to owe any obligations or liabilities (whether actually, potentially or contingently) to, in respect of, or which derive from any UK DB Plan. </w:t>
      </w:r>
    </w:p>
    <w:p>
      <w:pPr>
        <w:pStyle w:val="TextBody"/>
        <w:bidi w:val="0"/>
        <w:spacing w:before="240" w:after="0"/>
        <w:jc w:val="left"/>
        <w:rPr>
          <w:rFonts w:ascii="Times New Roman" w:hAnsi="Times New Roman"/>
          <w:sz w:val="20"/>
        </w:rPr>
      </w:pPr>
      <w:r>
        <w:rPr>
          <w:rFonts w:ascii="Times New Roman" w:hAnsi="Times New Roman"/>
          <w:sz w:val="20"/>
        </w:rPr>
        <w:t xml:space="preserve">No Obligor, nor any of its Subsidiaries, nor any of their respective Affiliates, nor any of their respective directors, officers or employees, has been or is being prosecuted under sections 58A or 58B of the UK Pensions Act 2004 or has been or is being required to pay a financial penalty under sections 58C or 58D of the UK Pensions Act 2004, and there are no circumstances that would cause any Obligor, any of its Subsidiaries, any of their respective Affiliates, or any of their respective directors, officers or employees to be at risk of such prosecution or financial penalties. </w:t>
      </w:r>
    </w:p>
    <w:p>
      <w:pPr>
        <w:pStyle w:val="TextBody"/>
        <w:bidi w:val="0"/>
        <w:spacing w:before="120" w:after="0"/>
        <w:jc w:val="left"/>
        <w:rPr>
          <w:rFonts w:ascii="Times New Roman" w:hAnsi="Times New Roman"/>
          <w:sz w:val="20"/>
        </w:rPr>
      </w:pPr>
      <w:r>
        <w:rPr>
          <w:rFonts w:ascii="Times New Roman" w:hAnsi="Times New Roman"/>
          <w:b/>
          <w:sz w:val="20"/>
        </w:rPr>
        <w:t>7.18</w:t>
      </w:r>
      <w:r>
        <w:rPr>
          <w:rFonts w:ascii="Times New Roman" w:hAnsi="Times New Roman"/>
          <w:sz w:val="20"/>
        </w:rPr>
        <w:t xml:space="preserve"> </w:t>
      </w:r>
      <w:r>
        <w:rPr>
          <w:rFonts w:ascii="Times New Roman" w:hAnsi="Times New Roman"/>
          <w:b/>
          <w:sz w:val="20"/>
        </w:rPr>
        <w:t>Priority of Obligations; Collateral; Security Interest</w:t>
      </w:r>
      <w:r>
        <w:rPr>
          <w:rFonts w:ascii="Times New Roman" w:hAnsi="Times New Roman"/>
          <w:sz w:val="20"/>
        </w:rPr>
        <w:t xml:space="preserve">. No monetary Obligation arising hereunder or under any Notes Document, or arising in connection herewith or therewith, is contractually subordinated to any other Indebtedness of the Obligors. Subject to the English Legal Reservations and Perfection Requirements solely in respect of the English Guarantors and subject to the German Legal Reservations and Perfection Requirements solely in respect of the German Guarantors, each Security Document is effective to create in favor of the Secured Parties a legal, valid and enforceable security interest in the Collateral subject to such Security Document, each such security interest is legal, valid and enforceable, and each such security interest is perfected to the extent required by the applicable Security Document on a first-priority basis (subject to Permitted Liens that may apply to specific items of Collateral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and secures the Obligations, it being acknowledged that, in respect of the English Guarantors, perfection of the Liens created by the applicable Security Documents requires the registration of particulars of such Security Documents at Companies House in England and Wales under section 859A of the UK Companies Act 2006 (and payment of associated fees) and the registration of particulars of such Security Documents at the UK IPO or the EUIPO.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7.19</w:t>
      </w:r>
      <w:r>
        <w:rPr>
          <w:rFonts w:ascii="Times New Roman" w:hAnsi="Times New Roman"/>
          <w:sz w:val="20"/>
        </w:rPr>
        <w:t xml:space="preserve"> </w:t>
      </w:r>
      <w:r>
        <w:rPr>
          <w:rFonts w:ascii="Times New Roman" w:hAnsi="Times New Roman"/>
          <w:b/>
          <w:sz w:val="20"/>
        </w:rPr>
        <w:t>Governmental Approvals in Respect of Ordinary Course Activities, Etc.</w:t>
      </w:r>
      <w:r>
        <w:rPr>
          <w:rFonts w:ascii="Times New Roman" w:hAnsi="Times New Roman"/>
          <w:sz w:val="20"/>
        </w:rPr>
        <w:t xml:space="preserve"> Each Obligor and each of its Subsidiaries hold, and has timely obtained, either directly or through licensees or agents, all Governmental Approvals, including all Healthcare Permits, necessary or required for such Obligor and each of its Subsidiaries to engage in and otherwise conduct their respective operations and businesses in the ordinary course, including their commercialization and development of products. Such Governmental Approvals are valid and in full force and effect and have not been suspended, revoked, withdrawn or terminated, nor, to the knowledge of the Issuer, is any such action pending or threatened in writing, except, in each case, where the failure to hold or maintain such Governmental Approval, or such suspension, revocation, withdrawal or termination,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b/>
          <w:sz w:val="20"/>
        </w:rPr>
        <w:t>7.20</w:t>
      </w:r>
      <w:r>
        <w:rPr>
          <w:rFonts w:ascii="Times New Roman" w:hAnsi="Times New Roman"/>
          <w:sz w:val="20"/>
        </w:rPr>
        <w:t xml:space="preserve"> </w:t>
      </w:r>
      <w:r>
        <w:rPr>
          <w:rFonts w:ascii="Times New Roman" w:hAnsi="Times New Roman"/>
          <w:b/>
          <w:sz w:val="20"/>
        </w:rPr>
        <w:t>Transactions with Affiliates</w:t>
      </w:r>
      <w:r>
        <w:rPr>
          <w:rFonts w:ascii="Times New Roman" w:hAnsi="Times New Roman"/>
          <w:sz w:val="20"/>
        </w:rPr>
        <w:t xml:space="preserve">. Except as set forth on </w:t>
      </w:r>
      <w:r>
        <w:rPr>
          <w:rFonts w:ascii="Times New Roman" w:hAnsi="Times New Roman"/>
          <w:b/>
          <w:sz w:val="20"/>
        </w:rPr>
        <w:t>Schedule 7.20</w:t>
      </w:r>
      <w:r>
        <w:rPr>
          <w:rFonts w:ascii="Times New Roman" w:hAnsi="Times New Roman"/>
          <w:sz w:val="20"/>
        </w:rPr>
        <w:t xml:space="preserve">, no Obligor nor any of its Subsidiaries is a party to any transaction with any Affiliate that would be prohibited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b/>
          <w:sz w:val="20"/>
        </w:rPr>
        <w:t>7.21</w:t>
      </w:r>
      <w:r>
        <w:rPr>
          <w:rFonts w:ascii="Times New Roman" w:hAnsi="Times New Roman"/>
          <w:sz w:val="20"/>
        </w:rPr>
        <w:t xml:space="preserve"> </w:t>
      </w:r>
      <w:r>
        <w:rPr>
          <w:rFonts w:ascii="Times New Roman" w:hAnsi="Times New Roman"/>
          <w:b/>
          <w:sz w:val="20"/>
        </w:rPr>
        <w:t>Anti-Terrorism Laws; Sanctions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Obligor nor any of its Subsidiaries is in violation of any Anti- Terrorism Law or engages in or conspires to engage in any transaction that evades or avoids, or has the purpose of evading or avoiding, or attempts to violate, any applicable Anti-Terrorism Laws. </w:t>
      </w:r>
    </w:p>
    <w:p>
      <w:pPr>
        <w:pStyle w:val="TextBody"/>
        <w:bidi w:val="0"/>
        <w:spacing w:before="120" w:after="0"/>
        <w:jc w:val="left"/>
        <w:rPr>
          <w:rFonts w:ascii="Times New Roman" w:hAnsi="Times New Roman"/>
          <w:sz w:val="20"/>
        </w:rPr>
      </w:pPr>
      <w:r>
        <w:rPr>
          <w:rFonts w:ascii="Times New Roman" w:hAnsi="Times New Roman"/>
          <w:sz w:val="20"/>
        </w:rPr>
        <w:t xml:space="preserve">(b) No Obligor nor any of its Subsidiaries, any of their respective directors, officers, or employees nor, to the knowledge of such Obligor, agents or other Persons acting on behalf of any of the foregoing (i) is currently the target of any Sanctions, (ii) is operating, organized or resident in any Designated Jurisdiction, (iii) is engaged in any transactions with, or for the benefit of, any Person who is the target of Sanctions or who is operating, organized or resident in any Designated Jurisdiction in violation of Sanctions or (iv) is in violation of Sanctions. No Notes, nor the proceeds from any Notes, will be used, directly or indirectly, to lend, contribute or provide to, or has been or will be otherwise made available to fund, any activity or business in any Designated Jurisdiction or any activity or business of any Person located, organized or residing in any Designated Jurisdiction, in violation of Sanctions or who is the subject of any Sanctions, or in any other manner that will result in any violation by any Person (including the Administrative Agent, the Noteholders and their Affiliates) of Sanctions. </w:t>
      </w:r>
    </w:p>
    <w:p>
      <w:pPr>
        <w:pStyle w:val="TextBody"/>
        <w:bidi w:val="0"/>
        <w:spacing w:before="120" w:after="0"/>
        <w:jc w:val="left"/>
        <w:rPr>
          <w:rFonts w:ascii="Times New Roman" w:hAnsi="Times New Roman"/>
          <w:sz w:val="20"/>
        </w:rPr>
      </w:pPr>
      <w:r>
        <w:rPr>
          <w:rFonts w:ascii="Times New Roman" w:hAnsi="Times New Roman"/>
          <w:sz w:val="20"/>
        </w:rPr>
        <w:t xml:space="preserve">(c) The representations under paragraphs (a) to (b) (including) of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7.21 </w:t>
      </w:r>
      <w:r>
        <w:rPr>
          <w:rFonts w:ascii="Times New Roman" w:hAnsi="Times New Roman"/>
          <w:sz w:val="20"/>
        </w:rPr>
        <w:t>shall only be made by the German Guarantors if and to the extent that making such representation does not result in a violation of or conflict with the Council Regulation (EC) No 2271/96 of 22 November 1996 (as amended from time to time) protecting against the effects of the extra-territorial application of legislation adopted by a third country, and actions based thereon or resulting therefrom, section 7 of the German Foreign Trade Regulation (</w:t>
      </w:r>
      <w:r>
        <w:rPr>
          <w:rFonts w:ascii="Times New Roman" w:hAnsi="Times New Roman"/>
          <w:i/>
          <w:sz w:val="20"/>
        </w:rPr>
        <w:t>Außenwirtschaftsverordnung - AWV</w:t>
      </w:r>
      <w:r>
        <w:rPr>
          <w:rFonts w:ascii="Times New Roman" w:hAnsi="Times New Roman"/>
          <w:sz w:val="20"/>
        </w:rPr>
        <w:t xml:space="preserve">) and/or any other applicable anti boycott laws or regulations. </w:t>
      </w:r>
    </w:p>
    <w:p>
      <w:pPr>
        <w:pStyle w:val="TextBody"/>
        <w:bidi w:val="0"/>
        <w:spacing w:before="120" w:after="0"/>
        <w:jc w:val="left"/>
        <w:rPr>
          <w:rFonts w:ascii="Times New Roman" w:hAnsi="Times New Roman"/>
          <w:sz w:val="20"/>
        </w:rPr>
      </w:pPr>
      <w:r>
        <w:rPr>
          <w:rFonts w:ascii="Times New Roman" w:hAnsi="Times New Roman"/>
          <w:b/>
          <w:sz w:val="20"/>
        </w:rPr>
        <w:t>7.22</w:t>
      </w:r>
      <w:r>
        <w:rPr>
          <w:rFonts w:ascii="Times New Roman" w:hAnsi="Times New Roman"/>
          <w:sz w:val="20"/>
        </w:rPr>
        <w:t xml:space="preserve"> </w:t>
      </w:r>
      <w:r>
        <w:rPr>
          <w:rFonts w:ascii="Times New Roman" w:hAnsi="Times New Roman"/>
          <w:b/>
          <w:sz w:val="20"/>
        </w:rPr>
        <w:t>Anti-Corruption</w:t>
      </w:r>
      <w:r>
        <w:rPr>
          <w:rFonts w:ascii="Times New Roman" w:hAnsi="Times New Roman"/>
          <w:sz w:val="20"/>
        </w:rPr>
        <w:t xml:space="preserve">. No Obligor nor any of its Subsidiaries, any of their respective directors, officers or employees nor, to the knowledge of such Obligor, any agents or other Persons acting on behalf of any of the foregoing, directly or indirectly, has (i) violated or is in violation of any applicable anti-corruption Law (including the UK Bribery Act 2010 or equivalent laws in other jurisdictions) or (ii) made, offered to make, promised to make or authorized the payment or giving of, directly or indirectly, any Prohibited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7.23</w:t>
      </w:r>
      <w:r>
        <w:rPr>
          <w:rFonts w:ascii="Times New Roman" w:hAnsi="Times New Roman"/>
          <w:sz w:val="20"/>
        </w:rPr>
        <w:t xml:space="preserve"> </w:t>
      </w:r>
      <w:r>
        <w:rPr>
          <w:rFonts w:ascii="Times New Roman" w:hAnsi="Times New Roman"/>
          <w:b/>
          <w:sz w:val="20"/>
        </w:rPr>
        <w:t>Deposit and Disbursement Accounts</w:t>
      </w:r>
      <w:r>
        <w:rPr>
          <w:rFonts w:ascii="Times New Roman" w:hAnsi="Times New Roman"/>
          <w:sz w:val="20"/>
        </w:rPr>
        <w:t xml:space="preserve"> </w:t>
      </w:r>
      <w:r>
        <w:rPr>
          <w:rFonts w:ascii="Times New Roman" w:hAnsi="Times New Roman"/>
          <w:b/>
          <w:sz w:val="20"/>
        </w:rPr>
        <w:t>and Investment Accounts</w:t>
      </w:r>
      <w:r>
        <w:rPr>
          <w:rFonts w:ascii="Times New Roman" w:hAnsi="Times New Roman"/>
          <w:sz w:val="20"/>
        </w:rPr>
        <w:t xml:space="preserve">. </w:t>
      </w:r>
      <w:r>
        <w:rPr>
          <w:rFonts w:ascii="Times New Roman" w:hAnsi="Times New Roman"/>
          <w:b/>
          <w:sz w:val="20"/>
        </w:rPr>
        <w:t>Schedule 7.23</w:t>
      </w:r>
      <w:r>
        <w:rPr>
          <w:rFonts w:ascii="Times New Roman" w:hAnsi="Times New Roman"/>
          <w:sz w:val="20"/>
        </w:rPr>
        <w:t xml:space="preserve"> contains a list of all banks and other financial institutions at which the Obligors maintain deposit accounts, lockboxes, disbursement accounts, investment accounts or other similar accounts, and such Schedule correctly identifies the name and address of each bank or financial institution, the name in which the account is held, the type of account, and the complete account number therefor. </w:t>
      </w:r>
    </w:p>
    <w:p>
      <w:pPr>
        <w:pStyle w:val="TextBody"/>
        <w:bidi w:val="0"/>
        <w:spacing w:before="120" w:after="0"/>
        <w:jc w:val="left"/>
        <w:rPr>
          <w:rFonts w:ascii="Times New Roman" w:hAnsi="Times New Roman"/>
          <w:sz w:val="20"/>
        </w:rPr>
      </w:pPr>
      <w:r>
        <w:rPr>
          <w:rFonts w:ascii="Times New Roman" w:hAnsi="Times New Roman"/>
          <w:b/>
          <w:sz w:val="20"/>
        </w:rPr>
        <w:t>7.24</w:t>
      </w:r>
      <w:r>
        <w:rPr>
          <w:rFonts w:ascii="Times New Roman" w:hAnsi="Times New Roman"/>
          <w:sz w:val="20"/>
        </w:rPr>
        <w:t xml:space="preserve"> </w:t>
      </w:r>
      <w:r>
        <w:rPr>
          <w:rFonts w:ascii="Times New Roman" w:hAnsi="Times New Roman"/>
          <w:b/>
          <w:sz w:val="20"/>
        </w:rPr>
        <w:t>Centre of Main Interests</w:t>
      </w:r>
      <w:r>
        <w:rPr>
          <w:rFonts w:ascii="Times New Roman" w:hAnsi="Times New Roman"/>
          <w:sz w:val="20"/>
        </w:rPr>
        <w:t xml:space="preserve">. The Issuer represents and warrants that: (a) its centre of main interests (as that term is used in Article 3(1) of Regulation (EU) 2015/848 of the European Parliament and of the Council of 20 May 2015 on insolvency proceedings (recast), as incorporated into English law and amended by the Insolvency (Amendment) (EU Exit) Regulations 2019 (SI 2019/146) (the “Recast Insolvency Regulation”)) is situated in its jurisdiction of incorporation; (b) its central management and control is exercised in its jurisdiction of incorporation, and all strategic business, commercial, and operational decisions are made by its board of directors within such jurisdiction; and (c) it has no “establishment” (as that term is defined in Article 2(10) of the Recast Insolvency Regulation) in any jurisdiction other than its jurisdiction of incorporation. </w:t>
      </w:r>
    </w:p>
    <w:p>
      <w:pPr>
        <w:pStyle w:val="TextBody"/>
        <w:bidi w:val="0"/>
        <w:spacing w:before="120" w:after="0"/>
        <w:jc w:val="left"/>
        <w:rPr>
          <w:rFonts w:ascii="Times New Roman" w:hAnsi="Times New Roman"/>
          <w:sz w:val="20"/>
        </w:rPr>
      </w:pPr>
      <w:r>
        <w:rPr>
          <w:rFonts w:ascii="Times New Roman" w:hAnsi="Times New Roman"/>
          <w:b/>
          <w:sz w:val="20"/>
        </w:rPr>
        <w:t>7.25</w:t>
      </w:r>
      <w:r>
        <w:rPr>
          <w:rFonts w:ascii="Times New Roman" w:hAnsi="Times New Roman"/>
          <w:sz w:val="20"/>
        </w:rPr>
        <w:t xml:space="preserve"> </w:t>
      </w:r>
      <w:r>
        <w:rPr>
          <w:rFonts w:ascii="Times New Roman" w:hAnsi="Times New Roman"/>
          <w:b/>
          <w:sz w:val="20"/>
        </w:rPr>
        <w:t>Royalty and Other Payments</w:t>
      </w:r>
      <w:r>
        <w:rPr>
          <w:rFonts w:ascii="Times New Roman" w:hAnsi="Times New Roman"/>
          <w:sz w:val="20"/>
        </w:rPr>
        <w:t xml:space="preserve">. Except as set forth on </w:t>
      </w:r>
      <w:r>
        <w:rPr>
          <w:rFonts w:ascii="Times New Roman" w:hAnsi="Times New Roman"/>
          <w:b/>
          <w:sz w:val="20"/>
        </w:rPr>
        <w:t>Schedule 7.25</w:t>
      </w:r>
      <w:r>
        <w:rPr>
          <w:rFonts w:ascii="Times New Roman" w:hAnsi="Times New Roman"/>
          <w:sz w:val="20"/>
        </w:rPr>
        <w:t xml:space="preserve">, as of the Closing Date, no Obligor, nor any of its Subsidiaries, is obligated to pay any royalty, milestone payment or any other contingent payment. </w:t>
      </w:r>
    </w:p>
    <w:p>
      <w:pPr>
        <w:pStyle w:val="TextBody"/>
        <w:bidi w:val="0"/>
        <w:spacing w:before="120" w:after="0"/>
        <w:jc w:val="left"/>
        <w:rPr>
          <w:rFonts w:ascii="Times New Roman" w:hAnsi="Times New Roman"/>
          <w:sz w:val="20"/>
        </w:rPr>
      </w:pPr>
      <w:r>
        <w:rPr>
          <w:rFonts w:ascii="Times New Roman" w:hAnsi="Times New Roman"/>
          <w:b/>
          <w:sz w:val="20"/>
        </w:rPr>
        <w:t>7.26</w:t>
      </w:r>
      <w:r>
        <w:rPr>
          <w:rFonts w:ascii="Times New Roman" w:hAnsi="Times New Roman"/>
          <w:sz w:val="20"/>
        </w:rPr>
        <w:t xml:space="preserve"> </w:t>
      </w:r>
      <w:r>
        <w:rPr>
          <w:rFonts w:ascii="Times New Roman" w:hAnsi="Times New Roman"/>
          <w:b/>
          <w:sz w:val="20"/>
        </w:rPr>
        <w:t>Persons with Significant Control</w:t>
      </w:r>
      <w:r>
        <w:rPr>
          <w:rFonts w:ascii="Times New Roman" w:hAnsi="Times New Roman"/>
          <w:sz w:val="20"/>
        </w:rPr>
        <w:t xml:space="preserve"> </w:t>
      </w:r>
      <w:r>
        <w:rPr>
          <w:rFonts w:ascii="Times New Roman" w:hAnsi="Times New Roman"/>
          <w:b/>
          <w:sz w:val="20"/>
        </w:rPr>
        <w:t>Regime</w:t>
      </w:r>
      <w:r>
        <w:rPr>
          <w:rFonts w:ascii="Times New Roman" w:hAnsi="Times New Roman"/>
          <w:sz w:val="20"/>
        </w:rPr>
        <w:t xml:space="preserve">. In respect of any Equity Interests which constitute Collateral, no English Obligor has issued, or intends to issue, any warning notice or restrictions notice under Schedule 1B of the UK Companies Act 2006, and no English Obligor has received any such warning notice or restrictions notice. </w:t>
      </w:r>
    </w:p>
    <w:p>
      <w:pPr>
        <w:pStyle w:val="TextBody"/>
        <w:bidi w:val="0"/>
        <w:spacing w:before="120" w:after="0"/>
        <w:jc w:val="left"/>
        <w:rPr>
          <w:rFonts w:ascii="Times New Roman" w:hAnsi="Times New Roman"/>
          <w:sz w:val="20"/>
        </w:rPr>
      </w:pPr>
      <w:r>
        <w:rPr>
          <w:rFonts w:ascii="Times New Roman" w:hAnsi="Times New Roman"/>
          <w:b/>
          <w:sz w:val="20"/>
        </w:rPr>
        <w:t>7.27</w:t>
      </w:r>
      <w:r>
        <w:rPr>
          <w:rFonts w:ascii="Times New Roman" w:hAnsi="Times New Roman"/>
          <w:sz w:val="20"/>
        </w:rPr>
        <w:t xml:space="preserve"> </w:t>
      </w:r>
      <w:r>
        <w:rPr>
          <w:rFonts w:ascii="Times New Roman" w:hAnsi="Times New Roman"/>
          <w:b/>
          <w:sz w:val="20"/>
        </w:rPr>
        <w:t>Data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reasonably be expected to result in a Material Adverse Effect: (i) Issuer and each of its Subsidiaries is and has at all times been operating in compliance with Data Protection Requirements; and (ii) neither Issuer nor any of its Subsidiaries, or to the knowledge of Issuer and its Subsidiaries, any third party Processing Personal Information or confidential information on behalf of Issuer or any of its Subsidiaries, has experienced a Security Incident. </w:t>
      </w:r>
    </w:p>
    <w:p>
      <w:pPr>
        <w:pStyle w:val="TextBody"/>
        <w:bidi w:val="0"/>
        <w:spacing w:before="120" w:after="0"/>
        <w:jc w:val="left"/>
        <w:rPr>
          <w:rFonts w:ascii="Times New Roman" w:hAnsi="Times New Roman"/>
          <w:sz w:val="20"/>
        </w:rPr>
      </w:pPr>
      <w:r>
        <w:rPr>
          <w:rFonts w:ascii="Times New Roman" w:hAnsi="Times New Roman"/>
          <w:sz w:val="20"/>
        </w:rPr>
        <w:t>(b) Except as would not reasonably be expected to result in a Material Adverse Effect: (i) the information technology assets and equipment of Issuer and each of its Subsidiaries (collectively, “</w:t>
      </w:r>
      <w:r>
        <w:rPr>
          <w:rFonts w:ascii="Times New Roman" w:hAnsi="Times New Roman"/>
          <w:b/>
          <w:i/>
          <w:sz w:val="20"/>
        </w:rPr>
        <w:t>IT Systems</w:t>
      </w:r>
      <w:r>
        <w:rPr>
          <w:rFonts w:ascii="Times New Roman" w:hAnsi="Times New Roman"/>
          <w:sz w:val="20"/>
        </w:rPr>
        <w:t xml:space="preserve">”) are adequate for, and operate and perform as required in connection with the operation of the business of Issuer and each of its Subsidiaries as currently conducted, free and clear of all material bugs, errors, defects, Trojan horses, time bombs, malware and other corruptants; and (ii) Issuer and each of its Subsidiaries has implemented and maintain appropriate physical, technical and administrative safeguards designed to protect Personal Information Processed by Issuer and each of its Subsidiaries, any other material confidential information and the integrity and security of IT Systems used in connection with their businesses.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8, 2025, Autolus Inc. is not a “covered person,” and has not allowed “access” to any “bulk U.S. sensitive personal data” or “government-related data” by any “covered person” or “country of concern” (as such terms are defined by the final rule promulgated by the U.S. Department of Justice titled “Access to U.S. Sensitive Personal Data and Government-Related Data by Countries of Concern or Covered Persons,” 90 Fed. Reg. 1636 (Jan. 8, 2025) codified at 28 C.F.R. Part 202, including any amendments thereto and guidance issued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8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Obligors jointly and severally covenant and agree with the Administrative Agent and the Noteholders that, until the Commitments have expired or been terminated and all Obligations (other than inchoate indemnification and expense reimbursement obligations for which no Claim has been made) have been paid in full in cash: </w:t>
      </w:r>
    </w:p>
    <w:p>
      <w:pPr>
        <w:pStyle w:val="TextBody"/>
        <w:bidi w:val="0"/>
        <w:spacing w:before="120" w:after="0"/>
        <w:jc w:val="left"/>
        <w:rPr>
          <w:rFonts w:ascii="Times New Roman" w:hAnsi="Times New Roman"/>
          <w:sz w:val="20"/>
        </w:rPr>
      </w:pPr>
      <w:r>
        <w:rPr>
          <w:rFonts w:ascii="Times New Roman" w:hAnsi="Times New Roman"/>
          <w:b/>
          <w:sz w:val="20"/>
        </w:rPr>
        <w:t>8.01</w:t>
      </w:r>
      <w:r>
        <w:rPr>
          <w:rFonts w:ascii="Times New Roman" w:hAnsi="Times New Roman"/>
          <w:sz w:val="20"/>
        </w:rPr>
        <w:t xml:space="preserve"> </w:t>
      </w:r>
      <w:r>
        <w:rPr>
          <w:rFonts w:ascii="Times New Roman" w:hAnsi="Times New Roman"/>
          <w:b/>
          <w:sz w:val="20"/>
        </w:rPr>
        <w:t>Financial Statements and Other Information</w:t>
      </w:r>
      <w:r>
        <w:rPr>
          <w:rFonts w:ascii="Times New Roman" w:hAnsi="Times New Roman"/>
          <w:sz w:val="20"/>
        </w:rPr>
        <w:t>. The Issuer shall furnish to the Administrative Agent</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and in any event within (i) forty five (45) days after the end of each of the first three fiscal quarters of each fiscal year and (ii) ninety (90) days after the end of the last fiscal quarter of each fiscal year, (i) a consolidated balance sheet of the Issuer and its Subsidiaries as of the end of such fiscal quarter, and (ii) the related consolidated statements of income, shareholders’ equity and cash flows of the Issuer and its Subsidiaries for such quarter and the portion of the fiscal year through the end of such fiscal quarter, in each case, prepared in accordance with GAAP consistently applied, all in reasonable detail and setting forth in comparative form the figures for the corresponding period in the preceding fiscal year, together with (iii) a certificate of a Responsible Officer of the Issuer stating that (x) such financial statements fairly present in all material respects the financial condition of the Issuer and its Subsidiaries as at such date and (y) the results of operations of the Issuer and its Subsidiaries for the period ended on such date have been prepared in accordance with GAAP consistently applied, subject to changes resulting from normal, year-end audit adjustments and except for the absence of notes; </w:t>
      </w:r>
      <w:r>
        <w:rPr>
          <w:rFonts w:ascii="Times New Roman" w:hAnsi="Times New Roman"/>
          <w:sz w:val="20"/>
          <w:u w:val="single"/>
        </w:rPr>
        <w:t>provided</w:t>
      </w:r>
      <w:r>
        <w:rPr>
          <w:rFonts w:ascii="Times New Roman" w:hAnsi="Times New Roman"/>
          <w:sz w:val="20"/>
        </w:rPr>
        <w:t xml:space="preserve"> that documents required to be furnished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8.01(a)</w:t>
      </w:r>
      <w:r>
        <w:rPr>
          <w:rFonts w:ascii="Times New Roman" w:hAnsi="Times New Roman"/>
          <w:sz w:val="20"/>
        </w:rPr>
        <w:t xml:space="preserve"> shall be deemed furnished on the date that such documents are publicly available on “EDGAR” (with the related certificate separately delivered).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and in any event within ninety (90) days after the end of each fiscal year, (i) the consolidated balance sheets of the Issuer and its Subsidiaries as of the end of such fiscal year, and (ii) the related consolidated statements of income, shareholders’ equity and cash flows of the Issuer and its Subsidiaries for such fiscal year, in each case prepared in accordance with GAAP consistently applied, all in reasonable detail and setting forth in comparative form the figures for the previous fiscal year, accompanied by a report and opinion thereon of Ernst &amp; Young LLP or other independent certified public accountants of recognized national standing reasonably acceptable to the Administrative Agent, which report and opinion shall be prepared in accordance with Public Company Accounting Oversight Board standards and shall not be subject to (x) any “going concern” or similar qualification or exception (other than any such qualification or exception in respect of (1) the Issuer’s failure to have access to sufficient cash to pay the Obligations in full on the Maturity Date or (2) any actual, impending or potential breach of the obligations under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or (y) any qualification or exception as to the scope of such audit, and in the case of such consolidated financial statements, certified by a Responsible Officer of the Issuer; </w:t>
      </w:r>
      <w:r>
        <w:rPr>
          <w:rFonts w:ascii="Times New Roman" w:hAnsi="Times New Roman"/>
          <w:sz w:val="20"/>
          <w:u w:val="single"/>
        </w:rPr>
        <w:t>provided</w:t>
      </w:r>
      <w:r>
        <w:rPr>
          <w:rFonts w:ascii="Times New Roman" w:hAnsi="Times New Roman"/>
          <w:sz w:val="20"/>
        </w:rPr>
        <w:t xml:space="preserve"> that documents required to be furnished pursuant to this </w:t>
      </w:r>
      <w:r>
        <w:rPr>
          <w:rFonts w:ascii="Times New Roman" w:hAnsi="Times New Roman"/>
          <w:b/>
          <w:sz w:val="20"/>
        </w:rPr>
        <w:t>Section 8.01(b)</w:t>
      </w:r>
      <w:r>
        <w:rPr>
          <w:rFonts w:ascii="Times New Roman" w:hAnsi="Times New Roman"/>
          <w:sz w:val="20"/>
        </w:rPr>
        <w:t xml:space="preserve"> shall be deemed furnished on the date that such documents are publicly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together with the financial statements required pursuant to </w:t>
      </w:r>
      <w:r>
        <w:rPr>
          <w:rFonts w:ascii="Times New Roman" w:hAnsi="Times New Roman"/>
          <w:b/>
          <w:sz w:val="20"/>
        </w:rPr>
        <w:t>Sections 8.01(a)</w:t>
      </w:r>
      <w:r>
        <w:rPr>
          <w:rFonts w:ascii="Times New Roman" w:hAnsi="Times New Roman"/>
          <w:sz w:val="20"/>
        </w:rPr>
        <w:t xml:space="preserve"> and </w:t>
      </w:r>
      <w:r>
        <w:rPr>
          <w:rFonts w:ascii="Times New Roman" w:hAnsi="Times New Roman"/>
          <w:b/>
          <w:sz w:val="20"/>
        </w:rPr>
        <w:t>8.01(b)</w:t>
      </w:r>
      <w:r>
        <w:rPr>
          <w:rFonts w:ascii="Times New Roman" w:hAnsi="Times New Roman"/>
          <w:sz w:val="20"/>
        </w:rPr>
        <w:t>, (i) a management discussion and analysis (“</w:t>
      </w:r>
      <w:r>
        <w:rPr>
          <w:rFonts w:ascii="Times New Roman" w:hAnsi="Times New Roman"/>
          <w:b/>
          <w:i/>
          <w:sz w:val="20"/>
        </w:rPr>
        <w:t>MD&amp;A</w:t>
      </w:r>
      <w:r>
        <w:rPr>
          <w:rFonts w:ascii="Times New Roman" w:hAnsi="Times New Roman"/>
          <w:sz w:val="20"/>
        </w:rPr>
        <w:t xml:space="preserve">”), prepared in writing and in reasonable detail in a manner consistent with the requirements of Item 303 of Regulation S–K of the Securities Act, discussing the Issuer’s financial condition and results of operations as set forth in such financial statements; </w:t>
      </w:r>
      <w:r>
        <w:rPr>
          <w:rFonts w:ascii="Times New Roman" w:hAnsi="Times New Roman"/>
          <w:sz w:val="20"/>
          <w:u w:val="single"/>
        </w:rPr>
        <w:t>provided</w:t>
      </w:r>
      <w:r>
        <w:rPr>
          <w:rFonts w:ascii="Times New Roman" w:hAnsi="Times New Roman"/>
          <w:sz w:val="20"/>
        </w:rPr>
        <w:t xml:space="preserve"> that for so long as Issuer remains a “smaller reporting company” as defined in the Securities Act and Exchange Act through the end of an applicable reporting period, any reduced disclosure obligations under SEC rules relating to the MD&amp;A applicable to smaller reporting companies shall apply and (ii) a compliance certificate signed by the chief financial or accounting Responsible Officer, substantially in the form of </w:t>
      </w:r>
      <w:r>
        <w:rPr>
          <w:rFonts w:ascii="Times New Roman" w:hAnsi="Times New Roman"/>
          <w:b/>
          <w:sz w:val="20"/>
        </w:rPr>
        <w:t xml:space="preserve">Exhibit D </w:t>
      </w:r>
      <w:r>
        <w:rPr>
          <w:rFonts w:ascii="Times New Roman" w:hAnsi="Times New Roman"/>
          <w:sz w:val="20"/>
        </w:rPr>
        <w:t>(a “</w:t>
      </w:r>
      <w:r>
        <w:rPr>
          <w:rFonts w:ascii="Times New Roman" w:hAnsi="Times New Roman"/>
          <w:b/>
          <w:i/>
          <w:sz w:val="20"/>
        </w:rPr>
        <w:t>Compliance Certificate</w:t>
      </w:r>
      <w:r>
        <w:rPr>
          <w:rFonts w:ascii="Times New Roman" w:hAnsi="Times New Roman"/>
          <w:sz w:val="20"/>
        </w:rPr>
        <w:t xml:space="preserve">”), as of the end of the applicable accounting period, including, with respect to the financial statement delivered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8.01(b)</w:t>
      </w:r>
      <w:r>
        <w:rPr>
          <w:rFonts w:ascii="Times New Roman" w:hAnsi="Times New Roman"/>
          <w:sz w:val="20"/>
        </w:rPr>
        <w:t xml:space="preserve">, details of any issues that are material that are raised by the Issuer’s auditors. </w:t>
      </w:r>
    </w:p>
    <w:p>
      <w:pPr>
        <w:pStyle w:val="TextBody"/>
        <w:bidi w:val="0"/>
        <w:spacing w:before="120" w:after="0"/>
        <w:jc w:val="left"/>
        <w:rPr>
          <w:rFonts w:ascii="Times New Roman" w:hAnsi="Times New Roman"/>
          <w:sz w:val="20"/>
        </w:rPr>
      </w:pPr>
      <w:r>
        <w:rPr>
          <w:rFonts w:ascii="Times New Roman" w:hAnsi="Times New Roman"/>
          <w:sz w:val="20"/>
        </w:rPr>
        <w:t xml:space="preserve">(d) As soon as available and in any event no later than sixty (60) days following the end of each fiscal year of the Issuer (commencing with the fiscal year ending December 31, 2027), copies of an annual budget (or equivalent) for the Issuer and its Subsidiaries, approved by the Board, for the then current fiscal year, in form reasonably satisfactory to the Administrative Agent, accompanied by the projections upon which such budget was based and a certificate of a Responsible Officer of the Issuer certifying (in his or her capacity as an officer of the Issuer and not in his or her individual capacity) that the projections on which such budget was based are based on reasonable estimates, information and assumptions at the time and that such Responsible Officer has no reason to believe that such projections are incorrect or misleading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same are released, copies of all press releases (other than any press release that is administrative in nature); </w:t>
      </w:r>
      <w:r>
        <w:rPr>
          <w:rFonts w:ascii="Times New Roman" w:hAnsi="Times New Roman"/>
          <w:sz w:val="20"/>
          <w:u w:val="single"/>
        </w:rPr>
        <w:t>provided</w:t>
      </w:r>
      <w:r>
        <w:rPr>
          <w:rFonts w:ascii="Times New Roman" w:hAnsi="Times New Roman"/>
          <w:sz w:val="20"/>
        </w:rPr>
        <w:t xml:space="preserve"> that documents required to be furnished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8.01(e)</w:t>
      </w:r>
      <w:r>
        <w:rPr>
          <w:rFonts w:ascii="Times New Roman" w:hAnsi="Times New Roman"/>
          <w:sz w:val="20"/>
        </w:rPr>
        <w:t xml:space="preserve"> shall be deemed furnished on the date that such documents are publicly available on “EDGAR” or on the Issuer’s website. </w:t>
      </w:r>
    </w:p>
    <w:p>
      <w:pPr>
        <w:pStyle w:val="TextBody"/>
        <w:bidi w:val="0"/>
        <w:spacing w:before="120" w:after="0"/>
        <w:jc w:val="left"/>
        <w:rPr>
          <w:rFonts w:ascii="Times New Roman" w:hAnsi="Times New Roman"/>
          <w:sz w:val="20"/>
        </w:rPr>
      </w:pPr>
      <w:r>
        <w:rPr>
          <w:rFonts w:ascii="Times New Roman" w:hAnsi="Times New Roman"/>
          <w:sz w:val="20"/>
        </w:rPr>
        <w:t xml:space="preserve">(f) promptly, and in any event within ten (10) Business Days after receipt, by an Obligor thereof, (i) copies of each material notice or other material correspondence received from any securities regulator or exchange to the authority of which any Obligor may become subject from time to time, concerning any investigation or possible investigation or other inquiry by such agency regarding financial or other operational results of such Obligor, (ii) copies of any FDA Form-483s or similar documents, or (iii) copies of any material written correspondence or any other material written communication with the FDA or any other regulatory body relating to any event or circumstance which would reasonably be expected to result in fine, penalty or Loss to the Issuer or any of its Subsidiaries in excess of $2,500,000; </w:t>
      </w:r>
      <w:r>
        <w:rPr>
          <w:rFonts w:ascii="Times New Roman" w:hAnsi="Times New Roman"/>
          <w:sz w:val="20"/>
          <w:u w:val="single"/>
        </w:rPr>
        <w:t>provided</w:t>
      </w:r>
      <w:r>
        <w:rPr>
          <w:rFonts w:ascii="Times New Roman" w:hAnsi="Times New Roman"/>
          <w:sz w:val="20"/>
        </w:rPr>
        <w:t xml:space="preserve"> that documents required to be furnished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8.01(f)</w:t>
      </w:r>
      <w:r>
        <w:rPr>
          <w:rFonts w:ascii="Times New Roman" w:hAnsi="Times New Roman"/>
          <w:sz w:val="20"/>
        </w:rPr>
        <w:t xml:space="preserve"> shall be deemed furnished on the date that such documents are publicly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promptly (and in any event within five (5) Business Days of delivery) after the same are available, copies of each annual report, proxy or financial statement and any other statements, reports, communications and notices (including board kits) made available to the Issuer’s Board or holders of the Equity Interests of the Issuer or any of its Subsidiaries (including copies of all annual, regular, periodic and special reports and registration statements which the Issuer or any its Subsidiaries may file or be required to file with any securities regulator or exchange to the authority of which the Issuer or such Subsidiary, as applicable, may become subject from time to time); </w:t>
      </w:r>
      <w:r>
        <w:rPr>
          <w:rFonts w:ascii="Times New Roman" w:hAnsi="Times New Roman"/>
          <w:sz w:val="20"/>
          <w:u w:val="single"/>
        </w:rPr>
        <w:t>provided</w:t>
      </w:r>
      <w:r>
        <w:rPr>
          <w:rFonts w:ascii="Times New Roman" w:hAnsi="Times New Roman"/>
          <w:sz w:val="20"/>
        </w:rPr>
        <w:t xml:space="preserve"> that documents required to be furnished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8.01(g)</w:t>
      </w:r>
      <w:r>
        <w:rPr>
          <w:rFonts w:ascii="Times New Roman" w:hAnsi="Times New Roman"/>
          <w:sz w:val="20"/>
        </w:rPr>
        <w:t xml:space="preserve"> shall be deemed furnished on the date that such documents are publicly available on “EDGAR”. </w:t>
      </w:r>
    </w:p>
    <w:p>
      <w:pPr>
        <w:pStyle w:val="TextBody"/>
        <w:bidi w:val="0"/>
        <w:spacing w:before="120" w:after="0"/>
        <w:jc w:val="left"/>
        <w:rPr>
          <w:rFonts w:ascii="Times New Roman" w:hAnsi="Times New Roman"/>
          <w:sz w:val="20"/>
        </w:rPr>
      </w:pPr>
      <w:r>
        <w:rPr>
          <w:rFonts w:ascii="Times New Roman" w:hAnsi="Times New Roman"/>
          <w:sz w:val="20"/>
        </w:rPr>
        <w:t xml:space="preserve">(h) promptly following Administrative Agent’s reasonable request, the information regarding insurance maintained by the Issuer and its Subsidiaries as required under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as soon as possible and in any event within five (5) Business Days after the end of each calendar month, a Liquidity Certificate delivered by a Responsible Officer of the Issuer certifying that, as of the last day of such calendar month, the Obligors are in compliance with the Minimum Liquidity requirement as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which Liquidity Certificate shall be accompanied by evidence of such compliance reasonably satisfactory to the Administrative Agent, which evidence may be in the form of the Obligors’ bank account statements. </w:t>
      </w:r>
    </w:p>
    <w:p>
      <w:pPr>
        <w:pStyle w:val="TextBody"/>
        <w:bidi w:val="0"/>
        <w:spacing w:before="120" w:after="0"/>
        <w:jc w:val="left"/>
        <w:rPr>
          <w:rFonts w:ascii="Times New Roman" w:hAnsi="Times New Roman"/>
          <w:sz w:val="20"/>
        </w:rPr>
      </w:pPr>
      <w:r>
        <w:rPr>
          <w:rFonts w:ascii="Times New Roman" w:hAnsi="Times New Roman"/>
          <w:sz w:val="20"/>
        </w:rPr>
        <w:t xml:space="preserve">(j) such other information respecting the operations, properties, business, liabilities or condition (financial or otherwise) of the Obligors (including with respect to the Collateral),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The Obligors hereby acknowledge that the Administrative Agent or the Noteholders may not wish to receive material non-public information with respect to the Issuer or its Affiliates, or the respective securities of any of the foregoing, and the Administrative Agent, the Noteholders or their respective personnel may be engaged in investment and other market-related activities with respect to such Persons’ securities. Notwithstanding anything to the contrary in this Agreement, no Obligor or any Person acting on its behalf will provide, or become obligated to provide, the Administrative Agent, any Noteholder or their respective representatives or agents with any information that the Issuer reasonably believes constitutes material non-public information, except during an MNPI Notice Window or such information is required to be publicly disclosed by the SEC and publicly available on “EDGAR”; </w:t>
      </w:r>
      <w:r>
        <w:rPr>
          <w:rFonts w:ascii="Times New Roman" w:hAnsi="Times New Roman"/>
          <w:sz w:val="20"/>
          <w:u w:val="single"/>
        </w:rPr>
        <w:t>provided</w:t>
      </w:r>
      <w:r>
        <w:rPr>
          <w:rFonts w:ascii="Times New Roman" w:hAnsi="Times New Roman"/>
          <w:sz w:val="20"/>
        </w:rPr>
        <w:t xml:space="preserve"> that, notwithstanding the foregoing, the information required to be delivered pursuant to (i) </w:t>
      </w:r>
      <w:r>
        <w:rPr>
          <w:rFonts w:ascii="Times New Roman" w:hAnsi="Times New Roman"/>
          <w:b/>
          <w:sz w:val="20"/>
        </w:rPr>
        <w:t>clauses (a), (b), (c)</w:t>
      </w:r>
      <w:r>
        <w:rPr>
          <w:rFonts w:ascii="Times New Roman" w:hAnsi="Times New Roman"/>
          <w:sz w:val="20"/>
        </w:rPr>
        <w:t xml:space="preserve">, and </w:t>
      </w:r>
      <w:r>
        <w:rPr>
          <w:rFonts w:ascii="Times New Roman" w:hAnsi="Times New Roman"/>
          <w:b/>
          <w:sz w:val="20"/>
        </w:rPr>
        <w:t>(f)</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and (ii) </w:t>
      </w:r>
      <w:r>
        <w:rPr>
          <w:rFonts w:ascii="Times New Roman" w:hAnsi="Times New Roman"/>
          <w:b/>
          <w:sz w:val="20"/>
        </w:rPr>
        <w:t>clauses (a), (i)</w:t>
      </w:r>
      <w:r>
        <w:rPr>
          <w:rFonts w:ascii="Times New Roman" w:hAnsi="Times New Roman"/>
          <w:sz w:val="20"/>
        </w:rPr>
        <w:t xml:space="preserve">, and </w:t>
      </w:r>
      <w:r>
        <w:rPr>
          <w:rFonts w:ascii="Times New Roman" w:hAnsi="Times New Roman"/>
          <w:b/>
          <w:sz w:val="20"/>
        </w:rPr>
        <w:t>(j</w:t>
      </w:r>
      <w:r>
        <w:rPr>
          <w:rFonts w:ascii="Times New Roman" w:hAnsi="Times New Roman"/>
          <w:sz w:val="20"/>
        </w:rPr>
        <w:t xml:space="preserve">) of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shall be furnished and delivered to the Administrative Agent as provided herein whether or not such information qualifies as material non-public information. The Obligors hereby acknowledge that the Administrative Agent and each Noteholder is relying on the foregoing covenant in effecting transactions in securities of the Obligors. </w:t>
      </w:r>
    </w:p>
    <w:p>
      <w:pPr>
        <w:pStyle w:val="TextBody"/>
        <w:bidi w:val="0"/>
        <w:spacing w:before="120" w:after="0"/>
        <w:jc w:val="left"/>
        <w:rPr>
          <w:rFonts w:ascii="Times New Roman" w:hAnsi="Times New Roman"/>
          <w:sz w:val="20"/>
        </w:rPr>
      </w:pPr>
      <w:r>
        <w:rPr>
          <w:rFonts w:ascii="Times New Roman" w:hAnsi="Times New Roman"/>
          <w:b/>
          <w:sz w:val="20"/>
        </w:rPr>
        <w:t>8.02</w:t>
      </w:r>
      <w:r>
        <w:rPr>
          <w:rFonts w:ascii="Times New Roman" w:hAnsi="Times New Roman"/>
          <w:sz w:val="20"/>
        </w:rPr>
        <w:t xml:space="preserve"> </w:t>
      </w:r>
      <w:r>
        <w:rPr>
          <w:rFonts w:ascii="Times New Roman" w:hAnsi="Times New Roman"/>
          <w:b/>
          <w:sz w:val="20"/>
        </w:rPr>
        <w:t>Notices of Material Events</w:t>
      </w:r>
      <w:r>
        <w:rPr>
          <w:rFonts w:ascii="Times New Roman" w:hAnsi="Times New Roman"/>
          <w:sz w:val="20"/>
        </w:rPr>
        <w:t xml:space="preserve">. On or within five (5) Business Days (or such longer or shorter period as may be expressly set forth below) after a Responsible Officer of the Issuer or any of its Subsidiaries first learns of or acquires knowledge with respect to any of the below events or circumstances, the Issuer shall furnish to the Administrative Agent written notice thereof (prepared in reasonable detail):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together with the delivery of the next Liquidity Certificate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the occurrence of any event with respect to any property or assets of the Issuer or any of its Subsidiaries resulting in a Loss (excluding a loss of revenue and exclusive of any amounts fully covered by insurance (less any applicable deductible)) aggregating $2,500,000 (or the Equivalent Amount in other currencies) or more. </w:t>
      </w:r>
    </w:p>
    <w:p>
      <w:pPr>
        <w:pStyle w:val="TextBody"/>
        <w:bidi w:val="0"/>
        <w:spacing w:before="120" w:after="0"/>
        <w:jc w:val="left"/>
        <w:rPr>
          <w:rFonts w:ascii="Times New Roman" w:hAnsi="Times New Roman"/>
          <w:sz w:val="20"/>
        </w:rPr>
      </w:pPr>
      <w:r>
        <w:rPr>
          <w:rFonts w:ascii="Times New Roman" w:hAnsi="Times New Roman"/>
          <w:sz w:val="20"/>
        </w:rPr>
        <w:t xml:space="preserve">(c) together with the delivery of the next Liquidity Certificate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any written or filed Claim, action, suit, notice of violation, hearing, investigation or other proceedings pending, or to the best of the Issuer’s knowledge, threatened against or affecting the Issuer or any of its Subsidiaries or with respect to the ownership, use, maintenance and operation of their respective businesses, operations or properties, whether made by a Governmental Authority or other Person that would reasonably be expected to result in a Loss (excluding a loss of revenue and exclusive of any amounts fully covered by insurance (less any applicable deductible)) of $2,500,000 or more. </w:t>
      </w:r>
    </w:p>
    <w:p>
      <w:pPr>
        <w:pStyle w:val="TextBody"/>
        <w:bidi w:val="0"/>
        <w:spacing w:before="120" w:after="0"/>
        <w:jc w:val="left"/>
        <w:rPr>
          <w:rFonts w:ascii="Times New Roman" w:hAnsi="Times New Roman"/>
          <w:sz w:val="20"/>
        </w:rPr>
      </w:pPr>
      <w:r>
        <w:rPr>
          <w:rFonts w:ascii="Times New Roman" w:hAnsi="Times New Roman"/>
          <w:sz w:val="20"/>
        </w:rPr>
        <w:t xml:space="preserve">(d) (i) on or prior to the date of any filing by the Issuer or any of its ERISA Affiliates of any notice of intent to terminate any Title IV Plan, a copy of such notice and (ii) promptly, and in any event within ten (10) days, after any Responsible Officer of an Obligor or any Subsidiary thereof knows (A) that an ERISA Event has occurred or is reasonably expected to occur or (B) that a request for a minimum funding waiver under Section 412 of the Code has been filed with respect to any Title IV Plan or Multiemployer Plan, a notice (which may be made by telephone if promptly confirmed in writing) describing such waiver request and any action that any ERISA Affiliate proposes to take with respect to either of the foregoing, together with a copy of any notice filed with the PBGC or the IRS pertaining thereto. </w:t>
      </w:r>
    </w:p>
    <w:p>
      <w:pPr>
        <w:pStyle w:val="TextBody"/>
        <w:bidi w:val="0"/>
        <w:spacing w:before="120" w:after="0"/>
        <w:jc w:val="left"/>
        <w:rPr>
          <w:rFonts w:ascii="Times New Roman" w:hAnsi="Times New Roman"/>
          <w:sz w:val="20"/>
        </w:rPr>
      </w:pPr>
      <w:r>
        <w:rPr>
          <w:rFonts w:ascii="Times New Roman" w:hAnsi="Times New Roman"/>
          <w:sz w:val="20"/>
        </w:rPr>
        <w:t xml:space="preserve">(e) promptly, and in any event within five (5) Business Days, after any Obligor or any of its Subsidiaries or any of their respective Affiliates becomes aware of any of the following occurring on or in respect of any Obligor or any of its Subsidiaries or any of their respective Affiliates (or each of their respective directors, officers or employees): (i) the actual issuance, or issuance having been threatened in writing, by the Pensions Regulator of a Financial Support Direction or a Contribution Notice in relation to any UK DB Plan; or (ii) the actual exercise, or exercise having been threatened in writing, of any Criminal Pension Power or any sanction under sections 58A to 58D of the UK Pensions Act 2004 by the Pensions Regulator or the CPS in relation to any UK DB Plan. </w:t>
      </w:r>
    </w:p>
    <w:p>
      <w:pPr>
        <w:pStyle w:val="TextBody"/>
        <w:bidi w:val="0"/>
        <w:spacing w:before="120" w:after="0"/>
        <w:jc w:val="left"/>
        <w:rPr>
          <w:rFonts w:ascii="Times New Roman" w:hAnsi="Times New Roman"/>
          <w:sz w:val="20"/>
        </w:rPr>
      </w:pPr>
      <w:r>
        <w:rPr>
          <w:rFonts w:ascii="Times New Roman" w:hAnsi="Times New Roman"/>
          <w:sz w:val="20"/>
        </w:rPr>
        <w:t xml:space="preserve">(f) (i) the receipt by the Issuer or any of its Subsidiaries of any written notice of a material breach that has not been cured after the expiration of any applicable cure period, under or in respect of any Material Agreement, (ii) the termination of any Material Agreement other than in accordance with its terms, including as a result of a breach or default and (iii) the entering into of any new Material Agreement or material amendment or modification of an existing Material Agreement by an Obligor, including a copy thereof and an updated </w:t>
      </w:r>
      <w:r>
        <w:rPr>
          <w:rFonts w:ascii="Times New Roman" w:hAnsi="Times New Roman"/>
          <w:b/>
          <w:sz w:val="20"/>
        </w:rPr>
        <w:t>Schedule 7.14</w:t>
      </w:r>
      <w:r>
        <w:rPr>
          <w:rFonts w:ascii="Times New Roman" w:hAnsi="Times New Roman"/>
          <w:sz w:val="20"/>
        </w:rPr>
        <w:t xml:space="preserve"> reflecting such new, amended or modified Material Agreement, in each case ((i) through (iii)), together with the delivery of the next Liquidity Certificate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8.01(i) </w:t>
      </w:r>
      <w:r>
        <w:rPr>
          <w:rFonts w:ascii="Times New Roman" w:hAnsi="Times New Roman"/>
          <w:sz w:val="20"/>
        </w:rPr>
        <w:t xml:space="preserve">following such event. </w:t>
      </w:r>
    </w:p>
    <w:p>
      <w:pPr>
        <w:pStyle w:val="TextBody"/>
        <w:bidi w:val="0"/>
        <w:spacing w:before="120" w:after="0"/>
        <w:jc w:val="left"/>
        <w:rPr>
          <w:rFonts w:ascii="Times New Roman" w:hAnsi="Times New Roman"/>
          <w:sz w:val="20"/>
        </w:rPr>
      </w:pPr>
      <w:r>
        <w:rPr>
          <w:rFonts w:ascii="Times New Roman" w:hAnsi="Times New Roman"/>
          <w:sz w:val="20"/>
        </w:rPr>
        <w:t xml:space="preserve">(g) the reports and notices as required by the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within thirty (30) days of the date thereof, or, if earlier, on the date of delivery of any financial statements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8.01 </w:t>
      </w:r>
      <w:r>
        <w:rPr>
          <w:rFonts w:ascii="Times New Roman" w:hAnsi="Times New Roman"/>
          <w:sz w:val="20"/>
        </w:rPr>
        <w:t xml:space="preserve">with respect to the first fiscal period to which such change is applicable, notice of any material change in accounting policies or financial reporting practices by the Obligors; </w:t>
      </w:r>
      <w:r>
        <w:rPr>
          <w:rFonts w:ascii="Times New Roman" w:hAnsi="Times New Roman"/>
          <w:sz w:val="20"/>
          <w:u w:val="single"/>
        </w:rPr>
        <w:t>provided</w:t>
      </w:r>
      <w:r>
        <w:rPr>
          <w:rFonts w:ascii="Times New Roman" w:hAnsi="Times New Roman"/>
          <w:sz w:val="20"/>
        </w:rPr>
        <w:t xml:space="preserve"> that disclosure in the notes to such financial statements, if any, shall be deemed to satisfy the requirements of this </w:t>
      </w:r>
      <w:r>
        <w:rPr>
          <w:rFonts w:ascii="Times New Roman" w:hAnsi="Times New Roman"/>
          <w:b/>
          <w:sz w:val="20"/>
        </w:rPr>
        <w:t>Section</w:t>
      </w:r>
      <w:r>
        <w:rPr>
          <w:rFonts w:ascii="Times New Roman" w:hAnsi="Times New Roman"/>
          <w:sz w:val="20"/>
        </w:rPr>
        <w:t> </w:t>
      </w:r>
      <w:r>
        <w:rPr>
          <w:rFonts w:ascii="Times New Roman" w:hAnsi="Times New Roman"/>
          <w:b/>
          <w:sz w:val="20"/>
        </w:rPr>
        <w:t>8.02(g)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notice of any labor controversy resulting in or threatening to result in any strike, permanent work stoppage, boycott, shutdown or other material labor disruption against or involving the Issuer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(j) notice of infringement of which an Obligor obtains actual knowledge, or of any infringement alleged in writing of any Material Intellectual Property of another Person by the Issuer or any of its Subsidiaries that, in each case, would reasonably be expected to result in a Loss of $2,500,000 or more. </w:t>
      </w:r>
    </w:p>
    <w:p>
      <w:pPr>
        <w:pStyle w:val="TextBody"/>
        <w:bidi w:val="0"/>
        <w:spacing w:before="120" w:after="0"/>
        <w:jc w:val="left"/>
        <w:rPr>
          <w:rFonts w:ascii="Times New Roman" w:hAnsi="Times New Roman"/>
          <w:sz w:val="20"/>
        </w:rPr>
      </w:pPr>
      <w:r>
        <w:rPr>
          <w:rFonts w:ascii="Times New Roman" w:hAnsi="Times New Roman"/>
          <w:sz w:val="20"/>
        </w:rPr>
        <w:t xml:space="preserve">(k) together with the delivery of the next Liquidity Certificate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8.01(i)</w:t>
      </w:r>
      <w:r>
        <w:rPr>
          <w:rFonts w:ascii="Times New Roman" w:hAnsi="Times New Roman"/>
          <w:sz w:val="20"/>
        </w:rPr>
        <w:t xml:space="preserve">, following any change to Obligors’ ownership of Deposit Accounts, Securities Accounts and Commodity Accounts, a written notice delivered to the Administrative Agent, setting forth a complete and correct list of all such accounts as of the date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(l) the creation, development or other acquisition (including any in-bound exclusive licenses) of any Intellectual Property by the Issuer or any Subsidiary after the Closing Date that is issued or registered, or becomes issued or registered or the subject of an application for registration or issuance with any intellectual property registration office or authority, including the United States Patent and Trademark Office, the United States Copyright Office or any foreign equivalent or counterpart thereof; </w:t>
      </w:r>
      <w:r>
        <w:rPr>
          <w:rFonts w:ascii="Times New Roman" w:hAnsi="Times New Roman"/>
          <w:sz w:val="20"/>
          <w:u w:val="single"/>
        </w:rPr>
        <w:t>provided</w:t>
      </w:r>
      <w:r>
        <w:rPr>
          <w:rFonts w:ascii="Times New Roman" w:hAnsi="Times New Roman"/>
          <w:sz w:val="20"/>
        </w:rPr>
        <w:t xml:space="preserve"> that, with respect to any such Intellectual Property created, developed or acquired (including through any in-bound exclusive license) in any fiscal quarter, notice thereof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8.02(l)</w:t>
      </w:r>
      <w:r>
        <w:rPr>
          <w:rFonts w:ascii="Times New Roman" w:hAnsi="Times New Roman"/>
          <w:sz w:val="20"/>
        </w:rPr>
        <w:t xml:space="preserve"> shall be made in accordance with the timing of the Compliance Certificate for such fiscal quarter required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the acquisition by the Issuer or any of its Subsidiaries, in a single or series or related transactions, of any fee interest in any real property having a fair market value in excess of $2,500,000. </w:t>
      </w:r>
    </w:p>
    <w:p>
      <w:pPr>
        <w:pStyle w:val="TextBody"/>
        <w:bidi w:val="0"/>
        <w:spacing w:before="120" w:after="0"/>
        <w:jc w:val="left"/>
        <w:rPr>
          <w:rFonts w:ascii="Times New Roman" w:hAnsi="Times New Roman"/>
          <w:sz w:val="20"/>
        </w:rPr>
      </w:pPr>
      <w:r>
        <w:rPr>
          <w:rFonts w:ascii="Times New Roman" w:hAnsi="Times New Roman"/>
          <w:sz w:val="20"/>
        </w:rPr>
        <w:t xml:space="preserve">(n) (i) substantially concurrently with the delivery thereof to the counterparties under the Blackstone Collaboration Agreement, the BioNTech License Agreement and the UCLB License Agreement, copies of all material written notices or other material written reports (for the avoidance of doubt, excluding royalty or milestone reports and ordinary-course quarterly updates) required to be delivered by the Issuer or any of its Subsidiaries, pursuant to the Blackstone Collaboration Agreement, BioNTech License Agreement and the UCLB License Agreement, as applicable and (ii) following the Closing Date, any amendments, restatements, amendments and restatements, waivers, consents, or other modifications to the Blackstone Collaboration Agreement, BioNTech License Agreement or the UCLB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any warning letter or untitled letter issued by a Governmental Authority, including the FDA or comparable non-U.S. regulatory authority, any product recall, safety alert, correction, withdrawal, marketing suspension, removal or the like conducted, to be undertaken or issued by the Issuer, any Obligor or any of their respective suppliers, as the case may be, whether or not at the request, demand or order of any Governmental Authority, or any reasonable basis for any Governmental Authority to undertake or issue any such material action, in each case to the extent such event would reasonably be expected to result in a Material Adverse Effect or a Material Regulatory Event. </w:t>
      </w:r>
    </w:p>
    <w:p>
      <w:pPr>
        <w:pStyle w:val="TextBody"/>
        <w:bidi w:val="0"/>
        <w:spacing w:before="120" w:after="0"/>
        <w:jc w:val="left"/>
        <w:rPr>
          <w:rFonts w:ascii="Times New Roman" w:hAnsi="Times New Roman"/>
          <w:sz w:val="20"/>
        </w:rPr>
      </w:pPr>
      <w:r>
        <w:rPr>
          <w:rFonts w:ascii="Times New Roman" w:hAnsi="Times New Roman"/>
          <w:sz w:val="20"/>
        </w:rPr>
        <w:t xml:space="preserve">(p) any other development that results in, or would reasonably be expected to result in, a Material Adverse Effect or a Material Regulatory Event.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shall be accompanied by a statement of a Responsible Officer of the Issuer setting forth the details of the event or development requiring such notice and any action taken or proposed to be taken with respect thereto. Information required to be delivered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shall be deemed to have been delivered on the date that such information shall have been made publicly available on “EDGAR” so long as such information has been made publicly available within the five (5) Business Day period set forth above. Nothing in this </w:t>
      </w: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is intended to waive, consent to or otherwise permit any action or omission that is otherwise prohibited by this Agreement or any other Notes Document. </w:t>
      </w:r>
    </w:p>
    <w:p>
      <w:pPr>
        <w:pStyle w:val="TextBody"/>
        <w:bidi w:val="0"/>
        <w:spacing w:before="120" w:after="0"/>
        <w:jc w:val="left"/>
        <w:rPr>
          <w:rFonts w:ascii="Times New Roman" w:hAnsi="Times New Roman"/>
          <w:sz w:val="20"/>
        </w:rPr>
      </w:pPr>
      <w:r>
        <w:rPr>
          <w:rFonts w:ascii="Times New Roman" w:hAnsi="Times New Roman"/>
          <w:b/>
          <w:sz w:val="20"/>
        </w:rPr>
        <w:t>8.03</w:t>
      </w:r>
      <w:r>
        <w:rPr>
          <w:rFonts w:ascii="Times New Roman" w:hAnsi="Times New Roman"/>
          <w:sz w:val="20"/>
        </w:rPr>
        <w:t xml:space="preserve"> </w:t>
      </w:r>
      <w:r>
        <w:rPr>
          <w:rFonts w:ascii="Times New Roman" w:hAnsi="Times New Roman"/>
          <w:b/>
          <w:sz w:val="20"/>
        </w:rPr>
        <w:t>Existence; Conduct of Business</w:t>
      </w:r>
      <w:r>
        <w:rPr>
          <w:rFonts w:ascii="Times New Roman" w:hAnsi="Times New Roman"/>
          <w:sz w:val="20"/>
        </w:rPr>
        <w:t xml:space="preserve">. The Obligors shall, and shall cause each of their Subsidiaries to, do or cause to be done all things necessary to preserve, renew and maintain in full force and effect their legal existence and all Governmental Approvals, including Healthcare Permits, material to the conduct of their business; provided that the foregoing shall not prohibit any merger, amalgamation, consolidation, liquidation or dissolution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8.04</w:t>
      </w:r>
      <w:r>
        <w:rPr>
          <w:rFonts w:ascii="Times New Roman" w:hAnsi="Times New Roman"/>
          <w:sz w:val="20"/>
        </w:rPr>
        <w:t xml:space="preserve"> </w:t>
      </w:r>
      <w:r>
        <w:rPr>
          <w:rFonts w:ascii="Times New Roman" w:hAnsi="Times New Roman"/>
          <w:b/>
          <w:sz w:val="20"/>
        </w:rPr>
        <w:t>Payment of Obligations</w:t>
      </w:r>
      <w:r>
        <w:rPr>
          <w:rFonts w:ascii="Times New Roman" w:hAnsi="Times New Roman"/>
          <w:sz w:val="20"/>
        </w:rPr>
        <w:t xml:space="preserve">. Each Obligor shall, and shall cause each of its Subsidiaries to, pay and discharge its material obligations, including (i) all 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the Issuer or any of its Subsidiaries, except to the extent such Taxes, fees, assessments or governmental charges or levies, or such claims are being contested in good faith by appropriate proceedings and are adequately reserved against in accordance with GAAP, and (ii) all other lawful Claims which, if unpaid, would by Law become a Lien upon any properties or assets of the Issuer or any of its Subsidiaries, other than any Permitted Lien. </w:t>
      </w:r>
    </w:p>
    <w:p>
      <w:pPr>
        <w:pStyle w:val="TextBody"/>
        <w:bidi w:val="0"/>
        <w:spacing w:before="120" w:after="0"/>
        <w:jc w:val="left"/>
        <w:rPr>
          <w:rFonts w:ascii="Times New Roman" w:hAnsi="Times New Roman"/>
          <w:sz w:val="20"/>
        </w:rPr>
      </w:pPr>
      <w:r>
        <w:rPr>
          <w:rFonts w:ascii="Times New Roman" w:hAnsi="Times New Roman"/>
          <w:b/>
          <w:sz w:val="20"/>
        </w:rPr>
        <w:t>8.05</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Each Obligor shall, and shall cause each of its Subsidiaries to maintain, with financially sound and reputable insurance companies, insurance in such amounts and against such risks as are customarily maintained by companies engaged in the same or similar businesses operating in the same or similar locations. Upon the request of the Administrative Agent, the Issuer shall furnish to the Administrative Agent from time to time: (i) full information as to the insurance carried by the Issuer and each of its Subsidiaries and, if so requested, copies of all such insurance policies and (ii) a certificate from the Issuer’s insurance broker or other insurance specialist stating that all premiums then due on the policies relating to insurance in respect of the Collateral have been paid and that such policies are in full force and effect. The Obligors shall use commercially reasonable efforts to ensure, or cause others to ensure, that all insurance policies required under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shall provide that they shall not be terminated or cancelled without at least thirty (30) days’ (ten (10) days for nonpayment of premium) prior written notice to the Issuer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Receipt of notice of cancellation or modification of any such insurance policies or reduction of coverage or amounts thereunder shall entitle any Secured Party to renew any such policies, cause the coverage and amounts thereof to be maintained at levels required pursuant to the first sentence of this </w:t>
      </w: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or otherwise to obtain similar insurance in place of such policies, in each case at the expense of the Issuer (payable on demand). The amount of any such expenses shall accrue interest at the Default Rate if not paid on demand and shall constitute “Obligations.” </w:t>
      </w:r>
    </w:p>
    <w:p>
      <w:pPr>
        <w:pStyle w:val="TextBody"/>
        <w:bidi w:val="0"/>
        <w:spacing w:before="120" w:after="0"/>
        <w:jc w:val="left"/>
        <w:rPr>
          <w:rFonts w:ascii="Times New Roman" w:hAnsi="Times New Roman"/>
          <w:sz w:val="20"/>
        </w:rPr>
      </w:pPr>
      <w:r>
        <w:rPr>
          <w:rFonts w:ascii="Times New Roman" w:hAnsi="Times New Roman"/>
          <w:b/>
          <w:sz w:val="20"/>
        </w:rPr>
        <w:t>8.06</w:t>
      </w:r>
      <w:r>
        <w:rPr>
          <w:rFonts w:ascii="Times New Roman" w:hAnsi="Times New Roman"/>
          <w:sz w:val="20"/>
        </w:rPr>
        <w:t xml:space="preserve"> </w:t>
      </w:r>
      <w:r>
        <w:rPr>
          <w:rFonts w:ascii="Times New Roman" w:hAnsi="Times New Roman"/>
          <w:b/>
          <w:sz w:val="20"/>
        </w:rPr>
        <w:t>Books and Records; Inspection Rights</w:t>
      </w:r>
      <w:r>
        <w:rPr>
          <w:rFonts w:ascii="Times New Roman" w:hAnsi="Times New Roman"/>
          <w:sz w:val="20"/>
        </w:rPr>
        <w:t xml:space="preserve">. Each Obligor shall, and shall cause each of its Subsidiaries to, keep proper books of record and account in which full, true and correct entries are made of all dealings and transactions in relation to its business and activities. Each Obligor shall, and shall cause each of its Subsidiaries to, permit any representatives designated by the Administrative Agent or any Noteholder, upon reasonable prior written notice and during normal business hours, to visit and reasonably inspect its properties, to reasonably examine and make extracts from its books and records (excluding records subject to attorney-client privilege, subject to binding confidentiality agreements with third parties that preclude disclosure to any Secured Party (acting in such capacity) not entered into in contemplation of this </w:t>
      </w:r>
      <w:r>
        <w:rPr>
          <w:rFonts w:ascii="Times New Roman" w:hAnsi="Times New Roman"/>
          <w:b/>
          <w:sz w:val="20"/>
        </w:rPr>
        <w:t>Section</w:t>
      </w:r>
      <w:r>
        <w:rPr>
          <w:rFonts w:ascii="Times New Roman" w:hAnsi="Times New Roman"/>
          <w:sz w:val="20"/>
        </w:rPr>
        <w:t> </w:t>
      </w:r>
      <w:r>
        <w:rPr>
          <w:rFonts w:ascii="Times New Roman" w:hAnsi="Times New Roman"/>
          <w:b/>
          <w:sz w:val="20"/>
        </w:rPr>
        <w:t>8.06</w:t>
      </w:r>
      <w:r>
        <w:rPr>
          <w:rFonts w:ascii="Times New Roman" w:hAnsi="Times New Roman"/>
          <w:sz w:val="20"/>
        </w:rPr>
        <w:t xml:space="preserve"> or subject to confidentiality restrictions pursuant to applicable Law (including HIPAA)), and to discuss its affairs, finances and condition (financial or otherwise) with its officers and, if necessary after such discussions with such Obligor’s officers, its independent accountants, all at such reasonable times and during normal business hours (but not more often than once per year unless an Event of Default shall have occurred and is continuing) as the Administrative Agent or the Noteholders may reasonably request; </w:t>
      </w:r>
      <w:r>
        <w:rPr>
          <w:rFonts w:ascii="Times New Roman" w:hAnsi="Times New Roman"/>
          <w:sz w:val="20"/>
          <w:u w:val="single"/>
        </w:rPr>
        <w:t>provided</w:t>
      </w:r>
      <w:r>
        <w:rPr>
          <w:rFonts w:ascii="Times New Roman" w:hAnsi="Times New Roman"/>
          <w:sz w:val="20"/>
        </w:rPr>
        <w:t xml:space="preserve"> that no notice shall be required if an Event of Default shall have occurred and is continuing and no breach of this </w:t>
      </w:r>
      <w:r>
        <w:rPr>
          <w:rFonts w:ascii="Times New Roman" w:hAnsi="Times New Roman"/>
          <w:b/>
          <w:sz w:val="20"/>
        </w:rPr>
        <w:t>Section</w:t>
      </w:r>
      <w:r>
        <w:rPr>
          <w:rFonts w:ascii="Times New Roman" w:hAnsi="Times New Roman"/>
          <w:sz w:val="20"/>
        </w:rPr>
        <w:t> </w:t>
      </w:r>
      <w:r>
        <w:rPr>
          <w:rFonts w:ascii="Times New Roman" w:hAnsi="Times New Roman"/>
          <w:b/>
          <w:sz w:val="20"/>
        </w:rPr>
        <w:t>8.06</w:t>
      </w:r>
      <w:r>
        <w:rPr>
          <w:rFonts w:ascii="Times New Roman" w:hAnsi="Times New Roman"/>
          <w:sz w:val="20"/>
        </w:rPr>
        <w:t xml:space="preserve"> will occur if any independent accountants do not agree to meet with the representative of the Administrative Agent or any Noteholder. The Issuer shall pay all reasonable and documented out-of-pocket costs and expenses of all such inspections. </w:t>
      </w:r>
    </w:p>
    <w:p>
      <w:pPr>
        <w:pStyle w:val="TextBody"/>
        <w:bidi w:val="0"/>
        <w:spacing w:before="120" w:after="0"/>
        <w:jc w:val="left"/>
        <w:rPr>
          <w:rFonts w:ascii="Times New Roman" w:hAnsi="Times New Roman"/>
          <w:sz w:val="20"/>
        </w:rPr>
      </w:pPr>
      <w:r>
        <w:rPr>
          <w:rFonts w:ascii="Times New Roman" w:hAnsi="Times New Roman"/>
          <w:b/>
          <w:sz w:val="20"/>
        </w:rPr>
        <w:t>8.07</w:t>
      </w:r>
      <w:r>
        <w:rPr>
          <w:rFonts w:ascii="Times New Roman" w:hAnsi="Times New Roman"/>
          <w:sz w:val="20"/>
        </w:rPr>
        <w:t xml:space="preserve"> </w:t>
      </w:r>
      <w:r>
        <w:rPr>
          <w:rFonts w:ascii="Times New Roman" w:hAnsi="Times New Roman"/>
          <w:b/>
          <w:sz w:val="20"/>
        </w:rPr>
        <w:t>Compliance with Laws and Material Agreements</w:t>
      </w:r>
      <w:r>
        <w:rPr>
          <w:rFonts w:ascii="Times New Roman" w:hAnsi="Times New Roman"/>
          <w:sz w:val="20"/>
        </w:rPr>
        <w:t xml:space="preserve">. Each Obligor shall, and shall cause each of its Subsidiaries to, (i) comply in all material respects with all applicable Laws and Governmental Approvals (including Anti-Terrorism Laws, Sanctions, Environmental Laws, Healthcare Laws and Healthcare Permits) and (ii) use commercially reasonable efforts to comply with, and perform all obligations under or in connection with, all Material Agreements in accordance with the terms and conditions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9.12(b)</w:t>
      </w:r>
      <w:r>
        <w:rPr>
          <w:rFonts w:ascii="Times New Roman" w:hAnsi="Times New Roman"/>
          <w:sz w:val="20"/>
        </w:rPr>
        <w:t xml:space="preserve">. Each Obligor shall maintain in effect and enforce policies and procedures reasonably designed to promote compliance by such Obligor, its Subsidiaries and their respective directors, officers, employees and agents with Anti-Terrorism Laws and Sanctions. </w:t>
      </w:r>
    </w:p>
    <w:p>
      <w:pPr>
        <w:pStyle w:val="TextBody"/>
        <w:bidi w:val="0"/>
        <w:spacing w:before="120" w:after="0"/>
        <w:jc w:val="left"/>
        <w:rPr>
          <w:rFonts w:ascii="Times New Roman" w:hAnsi="Times New Roman"/>
          <w:sz w:val="20"/>
        </w:rPr>
      </w:pPr>
      <w:r>
        <w:rPr>
          <w:rFonts w:ascii="Times New Roman" w:hAnsi="Times New Roman"/>
          <w:b/>
          <w:sz w:val="20"/>
        </w:rPr>
        <w:t>8.08</w:t>
      </w:r>
      <w:r>
        <w:rPr>
          <w:rFonts w:ascii="Times New Roman" w:hAnsi="Times New Roman"/>
          <w:sz w:val="20"/>
        </w:rPr>
        <w:t xml:space="preserve"> </w:t>
      </w:r>
      <w:r>
        <w:rPr>
          <w:rFonts w:ascii="Times New Roman" w:hAnsi="Times New Roman"/>
          <w:b/>
          <w:sz w:val="20"/>
        </w:rPr>
        <w:t>Maintenance of Properties, Etc.</w:t>
      </w:r>
      <w:r>
        <w:rPr>
          <w:rFonts w:ascii="Times New Roman" w:hAnsi="Times New Roman"/>
          <w:sz w:val="20"/>
        </w:rPr>
        <w:t xml:space="preserve"> Each Obligor shall, and shall cause each of its Subsidiaries to, maintain and preserve all of its assets and properties, whether tangible or intangible, necessary or reasonably useful in the proper conduct of its business in good working order and condition in accordance with the general practice of other Persons of similar character and size or, in accordance with the terms of any lease of a Material Real Property or Future Acquired Material Real Property under which the Issuer or its Subsidiaries holds an interest, ordinary wear and tear and damage from casualty or condemnation excepted.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8.09</w:t>
      </w:r>
      <w:r>
        <w:rPr>
          <w:rFonts w:ascii="Times New Roman" w:hAnsi="Times New Roman"/>
          <w:sz w:val="20"/>
        </w:rPr>
        <w:t xml:space="preserve"> </w:t>
      </w:r>
      <w:r>
        <w:rPr>
          <w:rFonts w:ascii="Times New Roman" w:hAnsi="Times New Roman"/>
          <w:b/>
          <w:sz w:val="20"/>
        </w:rPr>
        <w:t>Governmental Approvals, Etc.</w:t>
      </w:r>
      <w:r>
        <w:rPr>
          <w:rFonts w:ascii="Times New Roman" w:hAnsi="Times New Roman"/>
          <w:sz w:val="20"/>
        </w:rPr>
        <w:t xml:space="preserve"> Each Obligor shall, and shall cause each of its Subsidiaries to, obtain and maintain all Governmental Approvals (including all Healthcare Permits) necessary in connection with (i) the execution, delivery and performance of the Notes Documents, (ii) the consummation of the Transactions and (iii) the operation and conduct of their respective businesses and the ownership of their respective properties, except, in the case of </w:t>
      </w:r>
      <w:r>
        <w:rPr>
          <w:rFonts w:ascii="Times New Roman" w:hAnsi="Times New Roman"/>
          <w:b/>
          <w:sz w:val="20"/>
        </w:rPr>
        <w:t>clause (iii)</w:t>
      </w:r>
      <w:r>
        <w:rPr>
          <w:rFonts w:ascii="Times New Roman" w:hAnsi="Times New Roman"/>
          <w:sz w:val="20"/>
        </w:rPr>
        <w:t xml:space="preserve"> above, where the failure to do so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b/>
          <w:sz w:val="20"/>
        </w:rPr>
        <w:t>8.10</w:t>
      </w:r>
      <w:r>
        <w:rPr>
          <w:rFonts w:ascii="Times New Roman" w:hAnsi="Times New Roman"/>
          <w:sz w:val="20"/>
        </w:rPr>
        <w:t xml:space="preserve"> </w:t>
      </w:r>
      <w:r>
        <w:rPr>
          <w:rFonts w:ascii="Times New Roman" w:hAnsi="Times New Roman"/>
          <w:b/>
          <w:sz w:val="20"/>
        </w:rPr>
        <w:t>Action Under Environmental Laws</w:t>
      </w:r>
      <w:r>
        <w:rPr>
          <w:rFonts w:ascii="Times New Roman" w:hAnsi="Times New Roman"/>
          <w:sz w:val="20"/>
        </w:rPr>
        <w:t xml:space="preserve">. Each Obligor shall, and shall cause each of its Subsidiaries to, upon becoming aware of the release of any Hazardous Materials or the existence of any environmental liability under applicable Environmental Laws with respect to their respective businesses, operations or properties, take all commercially reasonable actions, at their cost and expense, as shall be necessary or advisable to investigate and clean up the condition of their respective businesses, operations or properties, including all required removal, containment and remedial actions, to restore their respective businesses, operations and properties to a condition in each case, in material compliance with applicable Environmental Laws. </w:t>
      </w:r>
    </w:p>
    <w:p>
      <w:pPr>
        <w:pStyle w:val="TextBody"/>
        <w:bidi w:val="0"/>
        <w:spacing w:before="120" w:after="0"/>
        <w:jc w:val="left"/>
        <w:rPr>
          <w:rFonts w:ascii="Times New Roman" w:hAnsi="Times New Roman"/>
          <w:sz w:val="20"/>
        </w:rPr>
      </w:pPr>
      <w:r>
        <w:rPr>
          <w:rFonts w:ascii="Times New Roman" w:hAnsi="Times New Roman"/>
          <w:b/>
          <w:sz w:val="20"/>
        </w:rPr>
        <w:t>8.11</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The proceeds of the Notes shall be used only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Without limiting the foregoing, no part of the proceeds of the Notes shall be used, whether directly or indirectly, for any purpose that entails a violation of any Regulations of the Board of Governors of the Federal Reserve System, including Regulation T, Regulation U and Regulation X. </w:t>
      </w:r>
    </w:p>
    <w:p>
      <w:pPr>
        <w:pStyle w:val="TextBody"/>
        <w:bidi w:val="0"/>
        <w:spacing w:before="120" w:after="0"/>
        <w:jc w:val="left"/>
        <w:rPr>
          <w:rFonts w:ascii="Times New Roman" w:hAnsi="Times New Roman"/>
          <w:sz w:val="20"/>
        </w:rPr>
      </w:pPr>
      <w:r>
        <w:rPr>
          <w:rFonts w:ascii="Times New Roman" w:hAnsi="Times New Roman"/>
          <w:b/>
          <w:sz w:val="20"/>
        </w:rPr>
        <w:t>8.12</w:t>
      </w:r>
      <w:r>
        <w:rPr>
          <w:rFonts w:ascii="Times New Roman" w:hAnsi="Times New Roman"/>
          <w:sz w:val="20"/>
        </w:rPr>
        <w:t xml:space="preserve"> </w:t>
      </w:r>
      <w:r>
        <w:rPr>
          <w:rFonts w:ascii="Times New Roman" w:hAnsi="Times New Roman"/>
          <w:b/>
          <w:sz w:val="20"/>
        </w:rPr>
        <w:t>Certain Obligations Respecting Subsidiaries; 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Guarantors</w:t>
      </w:r>
      <w:r>
        <w:rPr>
          <w:rFonts w:ascii="Times New Roman" w:hAnsi="Times New Roman"/>
          <w:sz w:val="20"/>
        </w:rPr>
        <w:t xml:space="preserve">. Each Obligor shall take such action from time to time as shall be necessary to ensure that (x) each of its Subsidiaries that is a party to this Agreement as of the Closing Date will be and will remain an Obligor and Guarantor hereunder (except as otherwise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and (y) in the event that any Obligor shall form or acquire any new Subsidiary (other than any Excluded Subsidiary) or any Subsidiary of any Obligor shall cease being an Excluded Subsidiary, such Obligor shall, within thirty (30) days (or such longer period as the Administrative Agent, in its reasonable discretion, may consent to) of such formation, acquisition or cessation, cause such Subsidiary (other than any Excluded Subsidiary) to become a “Guarantor” hereunder, a “Grantor” (or the equivalent thereof) under any applicable Security Document, and a “Subsidiary Party” under the Intercompany Subordination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Issuer shall: </w:t>
      </w:r>
    </w:p>
    <w:p>
      <w:pPr>
        <w:pStyle w:val="TextBody"/>
        <w:bidi w:val="0"/>
        <w:spacing w:before="120" w:after="0"/>
        <w:jc w:val="left"/>
        <w:rPr>
          <w:rFonts w:ascii="Times New Roman" w:hAnsi="Times New Roman"/>
          <w:sz w:val="20"/>
        </w:rPr>
      </w:pPr>
      <w:r>
        <w:rPr>
          <w:rFonts w:ascii="Times New Roman" w:hAnsi="Times New Roman"/>
          <w:sz w:val="20"/>
        </w:rPr>
        <w:t xml:space="preserve">(i) take such action or cause such Subsidiary (other than any Excluded Subsidiary) to take such action (including joining the applicable Security Documents and delivering any certificated Equity Interests together with undated transfer powers executed in blank, applicable control agreements, intellectual property security agreements and other instruments) as shall be reasonably necessary or desirable (as determined by the Administrative Agent) to create and perfect, in favor of the Administrative Agent, for the benefit of the Secured Parties, subject to the English Legal Reservations, German Legal Reservations and the Perfection Requirements, valid and enforceable first priority Liens (subject only to Permitted Liens) on substantially all of the personal property of such new Subsidiary as collateral security for the Obligations hereunder as and when required by the terms of the Security Documents; </w:t>
      </w:r>
      <w:r>
        <w:rPr>
          <w:rFonts w:ascii="Times New Roman" w:hAnsi="Times New Roman"/>
          <w:sz w:val="20"/>
          <w:u w:val="single"/>
        </w:rPr>
        <w:t>provided</w:t>
      </w:r>
      <w:r>
        <w:rPr>
          <w:rFonts w:ascii="Times New Roman" w:hAnsi="Times New Roman"/>
          <w:sz w:val="20"/>
        </w:rPr>
        <w:t xml:space="preserve"> that any such security interest or Lien shall be subject to the applicable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cause the parent of such Subsidiary to execute and deliver a pledge agreement in favor of the Administrative Agent, for the benefit of the Secured Parties, in respect of all outstanding issued Equity Interests of such new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(iii) deliver such proof of corporate (or equivalent) action, incumbency of officers (or equivalent authorized persons), opinions of counsel and other documents as is consistent with those delivered by each Obligor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or as the Administrative Agent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 xml:space="preserve">Future Acquired Material Real Property Located in the United States. </w:t>
      </w:r>
      <w:r>
        <w:rPr>
          <w:rFonts w:ascii="Times New Roman" w:hAnsi="Times New Roman"/>
          <w:sz w:val="20"/>
        </w:rPr>
        <w:t>If the Issuer or any other Obligor acquires any Future Acquired Material Real Property located in the United States: (i) the Issuer shall notify the Administrative Agent thereof promptly (and in any event, within five (5) Business Days following the acquisition thereof) and (ii) subject to clause (iii) below, within sixty (60) days after the date of such acquisition (or such longer period as may be agreed by the Administrative Agent) the Issuer shall or shall cause the applicable Obligor to deliver to the Administrative Agent, with respect to such Future Acquired Material Real Property located in the United States, (x) counterparts of a Mortgage with respect to such Future Acquired Material Real Property, duly executed, notarized (to the extent required by applicable Law) and delivered by the applicable Obligor and suitable for recording or filing in all filing or recording offices that the Administrative Agent may reasonably deem necessary or desirable in order to create a valid and enforceable Lien subject to no other Liens except Permitted Liens, at the time of recordation thereof with all filing and recording taxes and fees having been paid or otherwise provided for in a manner reasonably satisfactory to the Administrative Agent; (y) with respect to the Mortgage encumbering such Future Acquired Material Real Property, customary opinions of local counsel in the state or jurisdiction in which such Future Acquired Material Real Property is located regarding the enforceability of such Mortgage, and any related fixtures and, in the state or jurisdiction where the applicable Obligor granting such Mortgage is organized, an opinion regarding due authorization, execution and delivery of such Mortgage, (z) with respect to each such mortgaged property located in the United States, the completed “Life of- Loan” Federal Emergency Management Agency (“</w:t>
      </w:r>
      <w:r>
        <w:rPr>
          <w:rFonts w:ascii="Times New Roman" w:hAnsi="Times New Roman"/>
          <w:b/>
          <w:i/>
          <w:sz w:val="20"/>
        </w:rPr>
        <w:t>FEMA</w:t>
      </w:r>
      <w:r>
        <w:rPr>
          <w:rFonts w:ascii="Times New Roman" w:hAnsi="Times New Roman"/>
          <w:sz w:val="20"/>
        </w:rPr>
        <w:t xml:space="preserve">”) Standard Flood Hazard Determination with respect to any such Future Acquired Material Real Property subject to the applicable FEMA rules and regulations; </w:t>
      </w:r>
      <w:r>
        <w:rPr>
          <w:rFonts w:ascii="Times New Roman" w:hAnsi="Times New Roman"/>
          <w:sz w:val="20"/>
          <w:u w:val="single"/>
        </w:rPr>
        <w:t>provided</w:t>
      </w:r>
      <w:r>
        <w:rPr>
          <w:rFonts w:ascii="Times New Roman" w:hAnsi="Times New Roman"/>
          <w:sz w:val="20"/>
        </w:rPr>
        <w:t xml:space="preserve"> that in the event that any such Future Acquired Material Real Property is located in an area determined by FEMA to have special flood hazards, such property shall not become subject to a Mortgage.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Future Acquired Material Real Property Located in England and Wales</w:t>
      </w:r>
      <w:r>
        <w:rPr>
          <w:rFonts w:ascii="Times New Roman" w:hAnsi="Times New Roman"/>
          <w:sz w:val="20"/>
        </w:rPr>
        <w:t xml:space="preserve">. If the Issuer or any other Obligor acquires any Future Acquired Material Real Property located in England and Wales, then: (i) the Issuer shall notify the Administrative Agent thereof promptly (and in any event within five (5) Business Days following the acquisition thereof), such notice to be accompanied by reasonable details of the tenure of such property and, in the case of leasehold property, the unexpired term and annual rent payable; and (ii) within sixty (60) days after the date of such acquisition (or such longer period as may be agreed by the Administrative Agent), the Issuer shall, or shall cause the applicable Obligor to, deliver to the Administrative Agent (x) in the case of any such Future Acquired Material Real Property which is held freehold or commonhold,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satisfactory initial draft valuation and appraisal report with respect to such Future Acquired Material Real Property, prepared by a reputable independent appraiser instructed and appointed by the Administrative Agent, which report shall be in scope and substance reasonably satisfactory to the Administrative Agent, and (y) the documents and deliverables set out in </w:t>
      </w:r>
      <w:r>
        <w:rPr>
          <w:rFonts w:ascii="Times New Roman" w:hAnsi="Times New Roman"/>
          <w:b/>
          <w:sz w:val="20"/>
        </w:rPr>
        <w:t>Section</w:t>
      </w:r>
      <w:r>
        <w:rPr>
          <w:rFonts w:ascii="Times New Roman" w:hAnsi="Times New Roman"/>
          <w:sz w:val="20"/>
        </w:rPr>
        <w:t> </w:t>
      </w:r>
      <w:r>
        <w:rPr>
          <w:rFonts w:ascii="Times New Roman" w:hAnsi="Times New Roman"/>
          <w:b/>
          <w:sz w:val="20"/>
        </w:rPr>
        <w:t>8.19(a)</w:t>
      </w:r>
      <w:r>
        <w:rPr>
          <w:rFonts w:ascii="Times New Roman" w:hAnsi="Times New Roman"/>
          <w:sz w:val="20"/>
        </w:rPr>
        <w:t xml:space="preserve"> (applied </w:t>
      </w:r>
      <w:r>
        <w:rPr>
          <w:rFonts w:ascii="Times New Roman" w:hAnsi="Times New Roman"/>
          <w:i/>
          <w:sz w:val="20"/>
        </w:rPr>
        <w:t>mutatis mutandis</w:t>
      </w:r>
      <w:r>
        <w:rPr>
          <w:rFonts w:ascii="Times New Roman" w:hAnsi="Times New Roman"/>
          <w:sz w:val="20"/>
        </w:rPr>
        <w:t xml:space="preserve"> in respect of such Future Acquired Material Real Property, including delivery of a Certificate of Title in respect of any such Future Acquired Material Real Property which is held freehold or commonhold, in each case without prejudice to the obligations of the Issuer and the other Obligors in respect of such Future Acquired Material Real Property under </w:t>
      </w:r>
      <w:r>
        <w:rPr>
          <w:rFonts w:ascii="Times New Roman" w:hAnsi="Times New Roman"/>
          <w:b/>
          <w:sz w:val="20"/>
        </w:rPr>
        <w:t>Section</w:t>
      </w:r>
      <w:r>
        <w:rPr>
          <w:rFonts w:ascii="Times New Roman" w:hAnsi="Times New Roman"/>
          <w:sz w:val="20"/>
        </w:rPr>
        <w:t> </w:t>
      </w:r>
      <w:r>
        <w:rPr>
          <w:rFonts w:ascii="Times New Roman" w:hAnsi="Times New Roman"/>
          <w:b/>
          <w:sz w:val="20"/>
        </w:rPr>
        <w:t>8.19(b)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Future Acquired Material Real Property Located Outside of England and Wales and the United States</w:t>
      </w:r>
      <w:r>
        <w:rPr>
          <w:rFonts w:ascii="Times New Roman" w:hAnsi="Times New Roman"/>
          <w:sz w:val="20"/>
        </w:rPr>
        <w:t xml:space="preserve">. If the Issuer or any other Obligor acquires any Future Acquired Material Real Property located outside of England and Wales and outside of the United States, then: (i) the Issuer shall notify the Administrative Agent thereof promptly (and in any event within five (5) Business Days following the acquisition thereof); and (ii) within sixty (60) days after the date of such acquisition (or such longer period as may be agreed by the Administrative Agent), the relevant Obligor shall be required to deliver to the Administrative Agent such documents and deliverables as are contemplated by </w:t>
      </w:r>
      <w:r>
        <w:rPr>
          <w:rFonts w:ascii="Times New Roman" w:hAnsi="Times New Roman"/>
          <w:b/>
          <w:sz w:val="20"/>
        </w:rPr>
        <w:t>Section</w:t>
      </w:r>
      <w:r>
        <w:rPr>
          <w:rFonts w:ascii="Times New Roman" w:hAnsi="Times New Roman"/>
          <w:sz w:val="20"/>
        </w:rPr>
        <w:t> </w:t>
      </w:r>
      <w:r>
        <w:rPr>
          <w:rFonts w:ascii="Times New Roman" w:hAnsi="Times New Roman"/>
          <w:b/>
          <w:sz w:val="20"/>
        </w:rPr>
        <w:t>8.12(c)</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8.19(a)</w:t>
      </w:r>
      <w:r>
        <w:rPr>
          <w:rFonts w:ascii="Times New Roman" w:hAnsi="Times New Roman"/>
          <w:sz w:val="20"/>
        </w:rPr>
        <w:t xml:space="preserve"> (applied </w:t>
      </w:r>
      <w:r>
        <w:rPr>
          <w:rFonts w:ascii="Times New Roman" w:hAnsi="Times New Roman"/>
          <w:i/>
          <w:sz w:val="20"/>
        </w:rPr>
        <w:t>mutatis mutandis</w:t>
      </w:r>
      <w:r>
        <w:rPr>
          <w:rFonts w:ascii="Times New Roman" w:hAnsi="Times New Roman"/>
          <w:sz w:val="20"/>
        </w:rPr>
        <w:t xml:space="preserve"> in respect of such Future Acquired Material Real Property, including delivery of a Certificate of Title in respect of any such Future Acquired Material Real Property which is held freehold or on the jurisdictional equivalent basis, in each case without prejudice to the obligations of the Issuer and the other Obligors in respect of such Future Acquired Material Real Property under </w:t>
      </w:r>
      <w:r>
        <w:rPr>
          <w:rFonts w:ascii="Times New Roman" w:hAnsi="Times New Roman"/>
          <w:b/>
          <w:sz w:val="20"/>
        </w:rPr>
        <w:t>Section</w:t>
      </w:r>
      <w:r>
        <w:rPr>
          <w:rFonts w:ascii="Times New Roman" w:hAnsi="Times New Roman"/>
          <w:sz w:val="20"/>
        </w:rPr>
        <w:t> </w:t>
      </w:r>
      <w:r>
        <w:rPr>
          <w:rFonts w:ascii="Times New Roman" w:hAnsi="Times New Roman"/>
          <w:b/>
          <w:sz w:val="20"/>
        </w:rPr>
        <w:t>8.19(b)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Obligor shall, and shall cause each of its direct or indirect Subsidiaries (including any newly formed or newly acquired Subsidiaries (other than any Excluded Subsidiary)) to take such action from time to time as shall reasonably be requested by the Administrative Agent to effectuate the purposes and objectives of this Agreement and the applicable Security Documents.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within thirty (30) days following written request from the Administrative Agent, each Obligor shall, and shall cause each Person that is required to be a Guarantor or an Obligor hereunder to take such action from time to time (including executing and delivering such Security Documents and delivering its certificated Equity Interests together with undated transfer powers executed in blank, applicable control agreements, intellectual property security agreements and other instruments) as shall be reasonably requested by the Administrative Agent to create, in favor of the Secured Parties, perfected security interests and Liens on the Material Real Property and Future Acquired Material Real Property and all personal property (other than Excluded Assets (as defined in the Security Agreement)) of such Obligor as collateral security for the Obligations; </w:t>
      </w:r>
      <w:r>
        <w:rPr>
          <w:rFonts w:ascii="Times New Roman" w:hAnsi="Times New Roman"/>
          <w:sz w:val="20"/>
          <w:u w:val="single"/>
        </w:rPr>
        <w:t>provided</w:t>
      </w:r>
      <w:r>
        <w:rPr>
          <w:rFonts w:ascii="Times New Roman" w:hAnsi="Times New Roman"/>
          <w:sz w:val="20"/>
        </w:rPr>
        <w:t xml:space="preserve"> that any such security interest or Lien shall be subject to Permitted Liens and the relevant requirements of the applicable Security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Limitations on Certain Obligations</w:t>
      </w:r>
      <w:r>
        <w:rPr>
          <w:rFonts w:ascii="Times New Roman" w:hAnsi="Times New Roman"/>
          <w:sz w:val="20"/>
        </w:rPr>
        <w:t xml:space="preserve">. Notwithstanding any other term or provision of this Agreement or any other Note Document to the contrary, no actions or undertakings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8.12(b)(i), 8.12(b)(ii)</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8.12(f)(ii)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8.16</w:t>
      </w:r>
      <w:r>
        <w:rPr>
          <w:rFonts w:ascii="Times New Roman" w:hAnsi="Times New Roman"/>
          <w:sz w:val="20"/>
        </w:rPr>
        <w:t xml:space="preserve"> and no other collateral or security filings, undertakings or actions, shall be required in any jurisdiction outside of (i) the United States, (ii) the United Kingdom, (iii) the EU IPO, (iv) any jurisdiction where a Material Real Property or Future Acquired Material Real Property is located, (v) any jurisdiction where any Obligor owns Collateral (other than Material Real Property or Future Acquired Material Real Property) in excess of $10,000,000, and (vi) any other jurisdiction in which a Subsidiary that is not an “Immaterial Subsidiary” is organized (other than (x) at the election of the Issuer and (y) any Subsidiary that owns or holds a marketing authorization granted by the European Commission through the centralized procedure for a Product or any such similar asset shall enter into Security Documents governed by the laws of its jurisdiction of organization prior to the first commercial sale or other commercial distribution of such Product in the European Union); </w:t>
      </w:r>
      <w:r>
        <w:rPr>
          <w:rFonts w:ascii="Times New Roman" w:hAnsi="Times New Roman"/>
          <w:sz w:val="20"/>
          <w:u w:val="single"/>
        </w:rPr>
        <w:t>provided</w:t>
      </w:r>
      <w:r>
        <w:rPr>
          <w:rFonts w:ascii="Times New Roman" w:hAnsi="Times New Roman"/>
          <w:sz w:val="20"/>
        </w:rPr>
        <w:t xml:space="preserve"> that with respect to the foregoing </w:t>
      </w:r>
      <w:r>
        <w:rPr>
          <w:rFonts w:ascii="Times New Roman" w:hAnsi="Times New Roman"/>
          <w:b/>
          <w:sz w:val="20"/>
        </w:rPr>
        <w:t>Section</w:t>
      </w:r>
      <w:r>
        <w:rPr>
          <w:rFonts w:ascii="Times New Roman" w:hAnsi="Times New Roman"/>
          <w:sz w:val="20"/>
        </w:rPr>
        <w:t> </w:t>
      </w:r>
      <w:r>
        <w:rPr>
          <w:rFonts w:ascii="Times New Roman" w:hAnsi="Times New Roman"/>
          <w:b/>
          <w:sz w:val="20"/>
        </w:rPr>
        <w:t>8.12(g)(iv)</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8.12(g)(v)</w:t>
      </w:r>
      <w:r>
        <w:rPr>
          <w:rFonts w:ascii="Times New Roman" w:hAnsi="Times New Roman"/>
          <w:sz w:val="20"/>
        </w:rPr>
        <w:t xml:space="preserve">, such filings, undertakings or actions shall be waived during the time the Market Capitalization of the Issuer is greater than $1,000,000,000. </w:t>
      </w:r>
    </w:p>
    <w:p>
      <w:pPr>
        <w:pStyle w:val="TextBody"/>
        <w:bidi w:val="0"/>
        <w:spacing w:before="120" w:after="0"/>
        <w:jc w:val="left"/>
        <w:rPr>
          <w:rFonts w:ascii="Times New Roman" w:hAnsi="Times New Roman"/>
          <w:sz w:val="20"/>
        </w:rPr>
      </w:pPr>
      <w:r>
        <w:rPr>
          <w:rFonts w:ascii="Times New Roman" w:hAnsi="Times New Roman"/>
          <w:b/>
          <w:sz w:val="20"/>
        </w:rPr>
        <w:t>8.13</w:t>
      </w:r>
      <w:r>
        <w:rPr>
          <w:rFonts w:ascii="Times New Roman" w:hAnsi="Times New Roman"/>
          <w:sz w:val="20"/>
        </w:rPr>
        <w:t xml:space="preserve"> </w:t>
      </w:r>
      <w:r>
        <w:rPr>
          <w:rFonts w:ascii="Times New Roman" w:hAnsi="Times New Roman"/>
          <w:b/>
          <w:sz w:val="20"/>
        </w:rPr>
        <w:t>Termination of Non-Permitted Liens</w:t>
      </w:r>
      <w:r>
        <w:rPr>
          <w:rFonts w:ascii="Times New Roman" w:hAnsi="Times New Roman"/>
          <w:sz w:val="20"/>
        </w:rPr>
        <w:t xml:space="preserve">. In the event that any Obligor or any of its Subsidiaries shall obtain knowledge of, or be notified by the Administrative Agent or any Noteholder of the existence of, any outstanding Lien against any assets or property of such Obligor or any of its Subsidiaries, which Lien is not a Permitted Lien, such Obligor shall use commercially reasonable efforts to promptly terminate or cause the termination of such Lien. </w:t>
      </w:r>
    </w:p>
    <w:p>
      <w:pPr>
        <w:pStyle w:val="TextBody"/>
        <w:bidi w:val="0"/>
        <w:spacing w:before="120" w:after="0"/>
        <w:jc w:val="left"/>
        <w:rPr>
          <w:rFonts w:ascii="Times New Roman" w:hAnsi="Times New Roman"/>
          <w:sz w:val="20"/>
        </w:rPr>
      </w:pPr>
      <w:r>
        <w:rPr>
          <w:rFonts w:ascii="Times New Roman" w:hAnsi="Times New Roman"/>
          <w:b/>
          <w:sz w:val="20"/>
        </w:rPr>
        <w:t>8.14</w:t>
      </w:r>
      <w:r>
        <w:rPr>
          <w:rFonts w:ascii="Times New Roman" w:hAnsi="Times New Roman"/>
          <w:sz w:val="20"/>
        </w:rPr>
        <w:t xml:space="preserve"> </w:t>
      </w:r>
      <w:r>
        <w:rPr>
          <w:rFonts w:ascii="Times New Roman" w:hAnsi="Times New Roman"/>
          <w:b/>
          <w:sz w:val="20"/>
        </w:rPr>
        <w:t>Maintenance of Governmental Approvals and Intellectual Property</w:t>
      </w:r>
      <w:r>
        <w:rPr>
          <w:rFonts w:ascii="Times New Roman" w:hAnsi="Times New Roman"/>
          <w:sz w:val="20"/>
        </w:rPr>
        <w:t xml:space="preserve">. Each Obligor shall, and shall cause each of its Subsidiaries (to the extent applicable) to, (i) maintain in full force and effect all material Governmental Approvals, Healthcare Permits, Material Intellectual Property and other rights, interests or assets (whether tangible or intangible) reasonably necessary for its ordinary course of business and commercial efforts as conducted as of the Closing Date and as reasonably anticipated to be conducted thereafter, in each case, except where the failure to do so would not reasonably be expected to result in a Material Adverse Effect, (ii) promptly upon obtaining knowledge thereof, notify the Administrative Agent of any infringement or other violation by any Person of any Obligor’s Material Intellectual Property, and use commercially reasonable efforts to pursue any such infringement or other violation, except in any specific circumstance where the Issuer reasonably determines in good faith that doing so is not commercially reasonable, (iii) use commercially reasonable efforts to pursue and maintain in full force and effect all new Material Intellectual Property created, developed, or acquired by the Issuer or any of its Subsidiaries, as the case may be, that is necessary for ordinary course commercial or business activities or operations, and (iv) promptly after obtaining knowledge thereof, notify the Administrative Agent of any written Claim by any Person that the conduct of the business of the Issuer or any of its Subsidiaries has infringed upon any Intellectual Property of such Person that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b/>
          <w:sz w:val="20"/>
        </w:rPr>
        <w:t>8.15</w:t>
      </w:r>
      <w:r>
        <w:rPr>
          <w:rFonts w:ascii="Times New Roman" w:hAnsi="Times New Roman"/>
          <w:sz w:val="20"/>
        </w:rPr>
        <w:t xml:space="preserve"> </w:t>
      </w:r>
      <w:r>
        <w:rPr>
          <w:rFonts w:ascii="Times New Roman" w:hAnsi="Times New Roman"/>
          <w:b/>
          <w:sz w:val="20"/>
        </w:rPr>
        <w:t>ERISA and Foreign Pension Plan Compliance</w:t>
      </w:r>
      <w:r>
        <w:rPr>
          <w:rFonts w:ascii="Times New Roman" w:hAnsi="Times New Roman"/>
          <w:sz w:val="20"/>
        </w:rPr>
        <w:t xml:space="preserve">. Except as would not reasonably be expected to result in a Material Adverse Effect, each Obligor shall comply, and shall cause each of its Subsidiaries (and each of their respective Affiliates) to comply, with the provisions of ERISA or applicable Law with respect to any Benefit Plans or Foreign Pension Plans to which the Issuer or any such Subsidiary is a party as an employer.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8.16</w:t>
      </w:r>
      <w:r>
        <w:rPr>
          <w:rFonts w:ascii="Times New Roman" w:hAnsi="Times New Roman"/>
          <w:sz w:val="20"/>
        </w:rPr>
        <w:t xml:space="preserve"> </w:t>
      </w:r>
      <w:r>
        <w:rPr>
          <w:rFonts w:ascii="Times New Roman" w:hAnsi="Times New Roman"/>
          <w:b/>
          <w:sz w:val="20"/>
        </w:rPr>
        <w:t>Cash Management</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8.12(g) </w:t>
      </w:r>
      <w:r>
        <w:rPr>
          <w:rFonts w:ascii="Times New Roman" w:hAnsi="Times New Roman"/>
          <w:sz w:val="20"/>
        </w:rPr>
        <w:t xml:space="preserve">and </w:t>
      </w:r>
      <w:r>
        <w:rPr>
          <w:rFonts w:ascii="Times New Roman" w:hAnsi="Times New Roman"/>
          <w:b/>
          <w:sz w:val="20"/>
        </w:rPr>
        <w:t>Section</w:t>
      </w:r>
      <w:r>
        <w:rPr>
          <w:rFonts w:ascii="Times New Roman" w:hAnsi="Times New Roman"/>
          <w:sz w:val="20"/>
        </w:rPr>
        <w:t> </w:t>
      </w:r>
      <w:r>
        <w:rPr>
          <w:rFonts w:ascii="Times New Roman" w:hAnsi="Times New Roman"/>
          <w:b/>
          <w:sz w:val="20"/>
        </w:rPr>
        <w:t>8.19(c)(ii)</w:t>
      </w:r>
      <w:r>
        <w:rPr>
          <w:rFonts w:ascii="Times New Roman" w:hAnsi="Times New Roman"/>
          <w:sz w:val="20"/>
        </w:rPr>
        <w:t xml:space="preserve">, each Obligor shall: </w:t>
      </w:r>
    </w:p>
    <w:p>
      <w:pPr>
        <w:pStyle w:val="TextBody"/>
        <w:bidi w:val="0"/>
        <w:spacing w:before="120" w:after="0"/>
        <w:jc w:val="left"/>
        <w:rPr>
          <w:rFonts w:ascii="Times New Roman" w:hAnsi="Times New Roman"/>
          <w:sz w:val="20"/>
        </w:rPr>
      </w:pPr>
      <w:r>
        <w:rPr>
          <w:rFonts w:ascii="Times New Roman" w:hAnsi="Times New Roman"/>
          <w:sz w:val="20"/>
        </w:rPr>
        <w:t>(a) maintain at all times all deposit accounts, disbursement accounts, investment accounts, securities accounts (and other similar cash or bank accounts) and/or lockboxes with a bank or financial institution that has executed and delivered to the Administrative Agent a control agreement to the extent applicable in the relevant jurisdiction (or, in respect of an account in the United Kingdom, evidence that each relevant Obligor delivered to the relevant account bank a notice of assignment in respect of the account and has used reasonable endeavors for a period not to exceed thirty (30) days to cause each account bank to acknowledge the notice), in form and substance reasonably acceptable to the Administrative Agent (each such deposit account, disbursement account, investment account, securities account (or other similar cash or bank account) and lockbox, a “</w:t>
      </w:r>
      <w:r>
        <w:rPr>
          <w:rFonts w:ascii="Times New Roman" w:hAnsi="Times New Roman"/>
          <w:b/>
          <w:i/>
          <w:sz w:val="20"/>
        </w:rPr>
        <w:t>Controlled Account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control agreement or notice of assignment or other perfection action, as applicable, shall be required for any Excluded Account;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such Controlled Account shall secure payment of the Obligations, and each Obligor shall have granted a Lien to the Administrative Agent, for the benefit of the Secured Parties, over such Controlled Accounts. For the avoidance of doubt, no account control agreements shall be required in respect of any bank account held in England; and </w:t>
      </w:r>
    </w:p>
    <w:p>
      <w:pPr>
        <w:pStyle w:val="TextBody"/>
        <w:bidi w:val="0"/>
        <w:spacing w:before="120" w:after="0"/>
        <w:jc w:val="left"/>
        <w:rPr>
          <w:rFonts w:ascii="Times New Roman" w:hAnsi="Times New Roman"/>
          <w:sz w:val="20"/>
        </w:rPr>
      </w:pPr>
      <w:r>
        <w:rPr>
          <w:rFonts w:ascii="Times New Roman" w:hAnsi="Times New Roman"/>
          <w:sz w:val="20"/>
        </w:rPr>
        <w:t xml:space="preserve">(b) deposit promptly, and in any event no later than five (5) Business Days after the date of receipt thereof (if and to the extent received), all cash, checks, drafts or other similar items of payment relating to or constituting payments made in respect of any and all accounts receivable, Contracts or any other rights and interests into the applicable Controlled Accounts. </w:t>
      </w:r>
    </w:p>
    <w:p>
      <w:pPr>
        <w:pStyle w:val="TextBody"/>
        <w:bidi w:val="0"/>
        <w:spacing w:before="120" w:after="0"/>
        <w:jc w:val="left"/>
        <w:rPr>
          <w:rFonts w:ascii="Times New Roman" w:hAnsi="Times New Roman"/>
          <w:sz w:val="20"/>
        </w:rPr>
      </w:pPr>
      <w:r>
        <w:rPr>
          <w:rFonts w:ascii="Times New Roman" w:hAnsi="Times New Roman"/>
          <w:b/>
          <w:sz w:val="20"/>
        </w:rPr>
        <w:t>8.17</w:t>
      </w:r>
      <w:r>
        <w:rPr>
          <w:rFonts w:ascii="Times New Roman" w:hAnsi="Times New Roman"/>
          <w:sz w:val="20"/>
        </w:rPr>
        <w:t xml:space="preserve"> </w:t>
      </w:r>
      <w:r>
        <w:rPr>
          <w:rFonts w:ascii="Times New Roman" w:hAnsi="Times New Roman"/>
          <w:b/>
          <w:sz w:val="20"/>
        </w:rPr>
        <w:t>Title, Headleases, Power to Remedy</w:t>
      </w:r>
      <w:r>
        <w:rPr>
          <w:rFonts w:ascii="Times New Roman" w:hAnsi="Times New Roman"/>
          <w:sz w:val="20"/>
        </w:rPr>
        <w:t xml:space="preserve">. Each Obligor shall, and shall cause each of its Subsidiaries to, (i) exercise its rights and comply in all material respects with any covenant, stipulation or obligation (restrictive or otherwise) at any time affecting a Material Real Property or Future Acquired Material Real Property, (ii) exercise its rights and comply with its obligations under each Headlease in a proper and timely manner, (iii) use its commercially reasonable endeavours to ensure that each landlord complies with its obligations under each Headlease in a proper and timely manner, (iv) if so required by the Administrative Agent, apply for relief against forfeiture of any Headlease in a proper and timely manner, and (v) in the event that an Obligor fails to perform any obligations under the Notes Documents affecting its Material Real Property or Future Acquired Material Real Property and such failure is not remedied within five (5) Business Days of receipt of notice from the Administrative Agent (or, where the Administrative Agent reasonably considers that earlier action is required in order to prevent the forfeiture, termination or irremediable breach of any Headlease, material damage to or deterioration of such property, or the expiry of any statutory or contractual time limit, such shorter period as the Administrative Agent may specify in such notice, and no such period shall apply at any time when an Event of Default has occurred and is continuing), that Obligor must, to the extent permitted by the terms of the relevant Headlease and any licence to charge or other landlord consent, allow the Administrative Agent or its agents and contractors (A) to enter any part of such Material Real Property or Future Acquired Material Real Property, (B) to comply with or object to any notice served on the Obligor in respect of such Material Real Property or Future Acquired Material Real Property and (C) to take any action that the Administrative Agent may reasonably consider necessary or desirable to prevent or remedy any breach of any such term or to comply with or object to any such notice; </w:t>
      </w:r>
      <w:r>
        <w:rPr>
          <w:rFonts w:ascii="Times New Roman" w:hAnsi="Times New Roman"/>
          <w:sz w:val="20"/>
          <w:u w:val="single"/>
        </w:rPr>
        <w:t>provided</w:t>
      </w:r>
      <w:r>
        <w:rPr>
          <w:rFonts w:ascii="Times New Roman" w:hAnsi="Times New Roman"/>
          <w:sz w:val="20"/>
        </w:rPr>
        <w:t xml:space="preserve"> that, in so doing, the Administrative Agent will not be, nor will it be deemed to be, acting as mortgagee in possession.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8.18</w:t>
      </w:r>
      <w:r>
        <w:rPr>
          <w:rFonts w:ascii="Times New Roman" w:hAnsi="Times New Roman"/>
          <w:sz w:val="20"/>
        </w:rPr>
        <w:t xml:space="preserve"> </w:t>
      </w:r>
      <w:r>
        <w:rPr>
          <w:rFonts w:ascii="Times New Roman" w:hAnsi="Times New Roman"/>
          <w:b/>
          <w:sz w:val="20"/>
        </w:rPr>
        <w:t>Register of Mortgages and Charges</w:t>
      </w:r>
      <w:r>
        <w:rPr>
          <w:rFonts w:ascii="Times New Roman" w:hAnsi="Times New Roman"/>
          <w:sz w:val="20"/>
        </w:rPr>
        <w:t xml:space="preserve">. Each Obligor shall, within fifteen (15) Business Days of the Closing Date, update its register of mortgages and charges to reflect the security granted by the Issuer pursuant to the applicable Security Documents, in form and substance reasonably satisfactory to the Administrative Agent (for the avoidance of doubt this obligation excludes registration of the Foreign Real Property Security Documents at HM Land Registry which shall be registered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8.19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8.19</w:t>
      </w:r>
      <w:r>
        <w:rPr>
          <w:rFonts w:ascii="Times New Roman" w:hAnsi="Times New Roman"/>
          <w:sz w:val="20"/>
        </w:rPr>
        <w:t xml:space="preserve"> </w:t>
      </w:r>
      <w:r>
        <w:rPr>
          <w:rFonts w:ascii="Times New Roman" w:hAnsi="Times New Roman"/>
          <w:b/>
          <w:sz w:val="20"/>
        </w:rPr>
        <w:t>Post-Closing Covenants</w:t>
      </w:r>
      <w:r>
        <w:rPr>
          <w:rFonts w:ascii="Times New Roman" w:hAnsi="Times New Roman"/>
          <w:sz w:val="20"/>
        </w:rPr>
        <w:t xml:space="preserve">. Within the time periods specified below (or such later date to which the Administrative Agent consents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Certificates of Title, Material Real Property Reports and Foreign Real Property Security Documents</w:t>
      </w:r>
      <w:r>
        <w:rPr>
          <w:rFonts w:ascii="Times New Roman" w:hAnsi="Times New Roman"/>
          <w:sz w:val="20"/>
        </w:rPr>
        <w:t xml:space="preserve">. Within sixty (60) days of the Closing Date, in respect of any Material Real Property located in England and Wales as of the Closing Date, the Issuer shall deliver or procure the delivery to the Administrative Agent of: </w:t>
      </w:r>
    </w:p>
    <w:p>
      <w:pPr>
        <w:pStyle w:val="TextBody"/>
        <w:bidi w:val="0"/>
        <w:spacing w:before="120" w:after="0"/>
        <w:jc w:val="left"/>
        <w:rPr>
          <w:rFonts w:ascii="Times New Roman" w:hAnsi="Times New Roman"/>
          <w:sz w:val="20"/>
        </w:rPr>
      </w:pPr>
      <w:r>
        <w:rPr>
          <w:rFonts w:ascii="Times New Roman" w:hAnsi="Times New Roman"/>
          <w:sz w:val="20"/>
        </w:rPr>
        <w:t xml:space="preserve">(i) a duly executed Foreign Real Property Security Document in respect of each such Material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(ii) copies of all lease and title documents for the relevant Material Real Property in electronic format; </w:t>
      </w:r>
    </w:p>
    <w:p>
      <w:pPr>
        <w:pStyle w:val="TextBody"/>
        <w:bidi w:val="0"/>
        <w:spacing w:before="120" w:after="0"/>
        <w:jc w:val="left"/>
        <w:rPr>
          <w:rFonts w:ascii="Times New Roman" w:hAnsi="Times New Roman"/>
          <w:sz w:val="20"/>
        </w:rPr>
      </w:pPr>
      <w:r>
        <w:rPr>
          <w:rFonts w:ascii="Times New Roman" w:hAnsi="Times New Roman"/>
          <w:sz w:val="20"/>
        </w:rPr>
        <w:t xml:space="preserve">(iii) a Land Registry Priority Search (OS1) in favour of the Administrative Agent against the title number of the relevant Material Real Property and: (A) giving not less than 20 Business Days’ priority beyond the date of the relevant Security Document; and (B) showing no adverse entries (save in respect of pending applications which have been disclosed in the Certificate of Title or Material Real Property Report to be provided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8.19(a)(v)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8.19(a)(vi)</w:t>
      </w:r>
      <w:r>
        <w:rPr>
          <w:rFonts w:ascii="Times New Roman" w:hAnsi="Times New Roman"/>
          <w:sz w:val="20"/>
        </w:rPr>
        <w:t xml:space="preserve">), and, if the priority period conferred by any such search would expire, or has expired, prior to the lodging of the application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8.19(a)(iv)</w:t>
      </w:r>
      <w:r>
        <w:rPr>
          <w:rFonts w:ascii="Times New Roman" w:hAnsi="Times New Roman"/>
          <w:sz w:val="20"/>
        </w:rPr>
        <w:t xml:space="preserve">, the relevant Obligor shall procure that a further Land Registry Priority Search (OS1) complying with paragraphs (A) and (B) above is obtained so that such application is lodged within a subsisting priority period; </w:t>
      </w:r>
    </w:p>
    <w:p>
      <w:pPr>
        <w:pStyle w:val="TextBody"/>
        <w:bidi w:val="0"/>
        <w:spacing w:before="120" w:after="0"/>
        <w:jc w:val="left"/>
        <w:rPr>
          <w:rFonts w:ascii="Times New Roman" w:hAnsi="Times New Roman"/>
          <w:sz w:val="20"/>
        </w:rPr>
      </w:pPr>
      <w:r>
        <w:rPr>
          <w:rFonts w:ascii="Times New Roman" w:hAnsi="Times New Roman"/>
          <w:sz w:val="20"/>
        </w:rPr>
        <w:t xml:space="preserve">(iv) HM Land Registry application form AP1 in relation to the charging of the relevant Material Real Property in favour of the Administrative Agent (including form CH2 to note the obligation to make further advances and form RX1 to register the restriction contained in the relevant Security Document), duly completed, accompanied by payment of the applicable HM Land Registry fees or an acceptable undertaking in relation to the same to enable English property counsel to the Administrative Agent to submit the relevant application to HM Land Registry;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any such Material Real Property which is held leasehold, a Material Real Property Report in respect of the relevant Material Real Property, in a form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in the case of any such Material Real Property which is held freehold or commonhold, (A) a Certificate of Title in respect of the relevant Material Real Property, in a form reasonably satisfactory to the Administrative Agent, and (B) an overview report prepared by the Administrative Agent’s solicitors on any such Certificate of Title addressed to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(vii) evidence that all consents required in connection with the grant and registration of the Foreign Real Property Security Document (including, in the case of any leasehold property, any landlord’s consent or licence to charge required under the relevant lease) have been obtained or, to the extent any such consent has not been obtained, an undertaking from the relevant Obligor (in a form acceptable to the Administrative Agent acting reasonably) to use commercially reasonable endeavours, for a period of not less than ninety (90) days, to obtain such consent and satisfy any related formalities (it being noted and agreed in each case that the Administrative Agent shall enter into any such landlord’s consent or licence to charge required under the relevant lease in a form reasonably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(viii) in respect of any Material Real Property the whole or part of which is unregistered, an undertaking from the relevant Obligor (in a form acceptable to the Administrative Agent acting reasonably) to apply for and pursue first registration of such property and registration of the Foreign Real Property Security Document at HM Land Registry, such application to be lodged within the period prescribed by the Land Registration Act 2002 (and in any event within sixty (60) days of the date of the relevant Foreign Real Property Security Document) together with all supporting documents and information as are in its possession relating to such Material Property, and deliver to the Administrative Agent, (A) a copy of such application and supporting documents;(B) an undertaking from the relevant Obligor’s solicitors (in a form acceptable to the Administrative Agent acting reasonably) to hold to the order of the Administrative Agent’s solicitors all title deeds and such other documents and information as are in its possession relating to such Material Real Property, and (C) an undertaking from the relevant Obligor (in a form acceptable to the Administrative Agent acting reasonably) to deliver to the Administrative Agent, upon receipt of confirmation of completion of registration from HM Land Registry, official copies of the register showing the Administrative Agent registered as proprietor of the relevant charge; </w:t>
      </w:r>
    </w:p>
    <w:p>
      <w:pPr>
        <w:pStyle w:val="TextBody"/>
        <w:bidi w:val="0"/>
        <w:spacing w:before="120" w:after="0"/>
        <w:jc w:val="left"/>
        <w:rPr>
          <w:rFonts w:ascii="Times New Roman" w:hAnsi="Times New Roman"/>
          <w:sz w:val="20"/>
        </w:rPr>
      </w:pPr>
      <w:r>
        <w:rPr>
          <w:rFonts w:ascii="Times New Roman" w:hAnsi="Times New Roman"/>
          <w:sz w:val="20"/>
        </w:rPr>
        <w:t xml:space="preserve">(ix) an undertaking from the relevant Obligor’s solicitors (in a form acceptable to the Administrative Agent acting reasonably) to (1) to the extent applicable, hold to the order of the Administrative Agent, and deliver to the Administrative Agent’s solicitors forthwith upon receipt, any validly executed form DS1 (or other evidence of discharge in a form acceptable to HM Land Registry) in respect of the release of any existing security required to be released in accordance with this Agreement, and to use reasonable endeavours to obtain the same, and (2) use reasonable endeavours to assist in responding to any requisitions raised by HM Land Registry and serve all notices as may be required; </w:t>
      </w:r>
    </w:p>
    <w:p>
      <w:pPr>
        <w:pStyle w:val="TextBody"/>
        <w:bidi w:val="0"/>
        <w:spacing w:before="120" w:after="0"/>
        <w:jc w:val="left"/>
        <w:rPr>
          <w:rFonts w:ascii="Times New Roman" w:hAnsi="Times New Roman"/>
          <w:sz w:val="20"/>
        </w:rPr>
      </w:pPr>
      <w:r>
        <w:rPr>
          <w:rFonts w:ascii="Times New Roman" w:hAnsi="Times New Roman"/>
          <w:sz w:val="20"/>
        </w:rPr>
        <w:t xml:space="preserve">(x) an undertaking from the relevant Obligor (in a form acceptable to the Administrative Agent acting reasonably) to procure the release and discharge of any Lien registered or otherwise subsisting against the title to the relevant Material Real Property, and to apply for and pursue such application for such release and discharge at HM Land Registry, such undertaking to be given and such application to be lodged on or prior to the lodgement of the application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8.19(a)(iv)</w:t>
      </w:r>
      <w:r>
        <w:rPr>
          <w:rFonts w:ascii="Times New Roman" w:hAnsi="Times New Roman"/>
          <w:sz w:val="20"/>
        </w:rPr>
        <w:t xml:space="preserve"> or such later date as the Administrative Agent may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if reasonably requested by the Administrative Agent, customary legal opinions of counsel to the Obligors in respect of the due authorisation, execution, delivery, enforceability and registration of the relevant Foreign Real Property Security Document, in form and substance reasonably satisfactory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(xii) such other documents or deliverables as the Administrative Agent may reasonably request in connection with the charging or registration of security over the relevant Material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In this Section, an “acceptable undertaking” means a solicitor’s undertaking from a firm of solicitors regulated by the Solicitors Regulation Authority or the Irish Law Society (as applicable) and approved for this purpose by the Administrative Agent and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Collateral Warranties</w:t>
      </w:r>
      <w:r>
        <w:rPr>
          <w:rFonts w:ascii="Times New Roman" w:hAnsi="Times New Roman"/>
          <w:sz w:val="20"/>
        </w:rPr>
        <w:t xml:space="preserve">. (i) Within ninety (90) days of the Closing Date and (ii) in respect of any Future Acquired Material Real Property, within ninety (90) days after the later of the date of acquisition thereof and the date on which the relevant Obligor first engages any contractor, sub-contractor or professional consultant in respect of any material works at such property (in each case, or such longer period as may be agreed by the Administrative Agent), the Issuer shall, or shall cause the applicable Obligor to, use commercially reasonable endeavours to procure and deliver to the Administrative Agent (A) collateral warranties (including step-in rights) in favour of the Administrative Agent, for the benefit of the Secured Parties, from each contractor, sub-contractor and professional consultant engaged in respect of any material works carried out or to be carried out at any Material Real Property or Future Acquired Material Real Property, and (B) security over the benefit of any collateral warranties and third party rights obtained in favour of any Obligor in respect of any Material Real Property or Future Acquired Material Real Property, in each case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(c) Within thirty (30) days of the Closing Date, the applicable Obligors shall deliver or procure the delivery to the Administrative Agent of the following documents: </w:t>
      </w:r>
    </w:p>
    <w:p>
      <w:pPr>
        <w:pStyle w:val="TextBody"/>
        <w:bidi w:val="0"/>
        <w:spacing w:before="120" w:after="0"/>
        <w:jc w:val="left"/>
        <w:rPr>
          <w:rFonts w:ascii="Times New Roman" w:hAnsi="Times New Roman"/>
          <w:sz w:val="20"/>
        </w:rPr>
      </w:pPr>
      <w:r>
        <w:rPr>
          <w:rFonts w:ascii="Times New Roman" w:hAnsi="Times New Roman"/>
          <w:sz w:val="20"/>
        </w:rPr>
        <w:t xml:space="preserve">(i) evidence of the release of all Liens filed against any Obligor’s personal property in South Korea or Brazil in connection with the Blackstone Collaboration Agreement and/or the related transactions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(ii) control agreements with respect to the certain accounts set forth on </w:t>
      </w:r>
      <w:r>
        <w:rPr>
          <w:rFonts w:ascii="Times New Roman" w:hAnsi="Times New Roman"/>
          <w:b/>
          <w:sz w:val="20"/>
        </w:rPr>
        <w:t>Schedule 7.23</w:t>
      </w:r>
      <w:r>
        <w:rPr>
          <w:rFonts w:ascii="Times New Roman" w:hAnsi="Times New Roman"/>
          <w:sz w:val="20"/>
        </w:rPr>
        <w:t xml:space="preserve"> and identified as accounts where control agreements need to be delivered in accordance with this Agreement and the other Notes Documents; and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the insurance required to be maintained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8.05 </w:t>
      </w:r>
      <w:r>
        <w:rPr>
          <w:rFonts w:ascii="Times New Roman" w:hAnsi="Times New Roman"/>
          <w:sz w:val="20"/>
        </w:rPr>
        <w:t xml:space="preserve">as of the Closing Date, endorsements naming the Administrative Agent, for the benefit of the Noteholders, as additional insured and lender loss payee thereunder, in each case,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Within ninety (90) days of the Closing Date, the applicable Obligors shall deliver or procure the delivery to the Administrative Agent an amendment to that certain charge registered against Autolus Limited at Companies House with charge code ending in 0002, to ensure that the Security (as defined in the English Law Security Agreement) created under such charge secures only the credit card facility provided by Barclays Bank plc to the Group (as defined in the English Law Security Agreement), such amendment in form and substance satisfactory to the Administrative Agent acting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ten (10) days of the Closing Date, the Issuer shall deliver to the Administrative Agent an originally executed copy of the signature page to the Notes Certificate for the Tranche 1 Notes. </w:t>
      </w:r>
    </w:p>
    <w:p>
      <w:pPr>
        <w:pStyle w:val="TextBody"/>
        <w:bidi w:val="0"/>
        <w:spacing w:before="120" w:after="0"/>
        <w:jc w:val="left"/>
        <w:rPr>
          <w:rFonts w:ascii="Times New Roman" w:hAnsi="Times New Roman"/>
          <w:sz w:val="20"/>
        </w:rPr>
      </w:pPr>
      <w:r>
        <w:rPr>
          <w:rFonts w:ascii="Times New Roman" w:hAnsi="Times New Roman"/>
          <w:b/>
          <w:sz w:val="20"/>
        </w:rPr>
        <w:t>8.20</w:t>
      </w:r>
      <w:r>
        <w:rPr>
          <w:rFonts w:ascii="Times New Roman" w:hAnsi="Times New Roman"/>
          <w:sz w:val="20"/>
        </w:rPr>
        <w:t xml:space="preserve"> </w:t>
      </w:r>
      <w:r>
        <w:rPr>
          <w:rFonts w:ascii="Times New Roman" w:hAnsi="Times New Roman"/>
          <w:b/>
          <w:sz w:val="20"/>
        </w:rPr>
        <w:t>List</w:t>
      </w:r>
      <w:r>
        <w:rPr>
          <w:rFonts w:ascii="Times New Roman" w:hAnsi="Times New Roman"/>
          <w:sz w:val="20"/>
        </w:rPr>
        <w:t xml:space="preserve">. Without prejudice to </w:t>
      </w:r>
      <w:r>
        <w:rPr>
          <w:rFonts w:ascii="Times New Roman" w:hAnsi="Times New Roman"/>
          <w:b/>
          <w:sz w:val="20"/>
        </w:rPr>
        <w:t>Section</w:t>
      </w:r>
      <w:r>
        <w:rPr>
          <w:rFonts w:ascii="Times New Roman" w:hAnsi="Times New Roman"/>
          <w:sz w:val="20"/>
        </w:rPr>
        <w:t> </w:t>
      </w:r>
      <w:r>
        <w:rPr>
          <w:rFonts w:ascii="Times New Roman" w:hAnsi="Times New Roman"/>
          <w:b/>
          <w:sz w:val="20"/>
        </w:rPr>
        <w:t>3.02(f)</w:t>
      </w:r>
      <w:r>
        <w:rPr>
          <w:rFonts w:ascii="Times New Roman" w:hAnsi="Times New Roman"/>
          <w:sz w:val="20"/>
        </w:rPr>
        <w:t xml:space="preserve">, the Issuer shall use reasonable endeavours to maintain a listing of all the Notes hereunder on the Exchange for so long as such Notes are outstanding; </w:t>
      </w:r>
      <w:r>
        <w:rPr>
          <w:rFonts w:ascii="Times New Roman" w:hAnsi="Times New Roman"/>
          <w:sz w:val="20"/>
          <w:u w:val="single"/>
        </w:rPr>
        <w:t>provided</w:t>
      </w:r>
      <w:r>
        <w:rPr>
          <w:rFonts w:ascii="Times New Roman" w:hAnsi="Times New Roman"/>
          <w:sz w:val="20"/>
        </w:rPr>
        <w:t xml:space="preserve"> that if at any time the Issuer determines that it will not maintain such listing, it will use its reasonable endeavours to obtain (prior to the delisting of the Notes from the Exchange) and thereafter maintain a listing of such Notes on another Recognised Stock Exchange. </w:t>
      </w:r>
    </w:p>
    <w:p>
      <w:pPr>
        <w:pStyle w:val="TextBody"/>
        <w:bidi w:val="0"/>
        <w:spacing w:before="120" w:after="0"/>
        <w:jc w:val="left"/>
        <w:rPr>
          <w:rFonts w:ascii="Times New Roman" w:hAnsi="Times New Roman"/>
          <w:sz w:val="20"/>
        </w:rPr>
      </w:pPr>
      <w:r>
        <w:rPr>
          <w:rFonts w:ascii="Times New Roman" w:hAnsi="Times New Roman"/>
          <w:b/>
          <w:sz w:val="20"/>
        </w:rPr>
        <w:t>8.21</w:t>
      </w:r>
      <w:r>
        <w:rPr>
          <w:rFonts w:ascii="Times New Roman" w:hAnsi="Times New Roman"/>
          <w:sz w:val="20"/>
        </w:rPr>
        <w:t xml:space="preserve"> </w:t>
      </w:r>
      <w:r>
        <w:rPr>
          <w:rFonts w:ascii="Times New Roman" w:hAnsi="Times New Roman"/>
          <w:b/>
          <w:sz w:val="20"/>
        </w:rPr>
        <w:t xml:space="preserve">Persons with Significant Control Regime. </w:t>
      </w:r>
      <w:r>
        <w:rPr>
          <w:rFonts w:ascii="Times New Roman" w:hAnsi="Times New Roman"/>
          <w:sz w:val="20"/>
        </w:rPr>
        <w:t xml:space="preserve">In respect of any Equity Interests which constitute Collateral, the relevant Obligor incorporated in the United Kingdom shall promptly: (i) notify the Administrative Agent of its intention to issue, or its receipt of, any warning notice or restrictions notice under Schedule 1B of the UK Companies Act 2006 and provide to the Administrative Agent a copy of any such warning notice or restrictions notice; (ii) respond to that notice within the prescribed timeframe; and (iii) provide to the Administrative Agent a copy of the response sent or received in respect of such notice. For the purposes of withdrawing any restrictions notice or for any application to the court under Schedule 1B of the UK Companies Act 2006, the relevant Obligor shall (and shall ensure that the Issuer and each of its Subsidiaries will) provide such assistance as the Administrative Agent may reasonably request in respect of any Equity Interests which constitute Collateral and provide the Administrative Agent with all information, documents and evidence that it may reasonably request in connection with the same.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9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Obligors jointly and severally covenant and agree with the Administrative Agent and the Noteholders that, until the Commitments have expired or been terminated and all Obligations (other than inchoate indemnification and expense reimbursement obligations for which no Claim has been made) have been paid in full in cash: </w:t>
      </w:r>
    </w:p>
    <w:p>
      <w:pPr>
        <w:pStyle w:val="TextBody"/>
        <w:bidi w:val="0"/>
        <w:spacing w:before="120" w:after="0"/>
        <w:jc w:val="left"/>
        <w:rPr>
          <w:rFonts w:ascii="Times New Roman" w:hAnsi="Times New Roman"/>
          <w:sz w:val="20"/>
        </w:rPr>
      </w:pPr>
      <w:r>
        <w:rPr>
          <w:rFonts w:ascii="Times New Roman" w:hAnsi="Times New Roman"/>
          <w:b/>
          <w:sz w:val="20"/>
        </w:rPr>
        <w:t>9.01</w:t>
      </w:r>
      <w:r>
        <w:rPr>
          <w:rFonts w:ascii="Times New Roman" w:hAnsi="Times New Roman"/>
          <w:sz w:val="20"/>
        </w:rPr>
        <w:t xml:space="preserve"> </w:t>
      </w:r>
      <w:r>
        <w:rPr>
          <w:rFonts w:ascii="Times New Roman" w:hAnsi="Times New Roman"/>
          <w:b/>
          <w:sz w:val="20"/>
        </w:rPr>
        <w:t>Indebtedness</w:t>
      </w:r>
      <w:r>
        <w:rPr>
          <w:rFonts w:ascii="Times New Roman" w:hAnsi="Times New Roman"/>
          <w:sz w:val="20"/>
        </w:rPr>
        <w:t xml:space="preserve">. Each Obligor shall not, and shall not permit any of its Subsidiaries to, create, incur, assume or permit to exist any Indebtedness, whether directly or indirectly, except: </w:t>
      </w:r>
    </w:p>
    <w:p>
      <w:pPr>
        <w:pStyle w:val="TextBody"/>
        <w:bidi w:val="0"/>
        <w:spacing w:before="120" w:after="0"/>
        <w:jc w:val="left"/>
        <w:rPr>
          <w:rFonts w:ascii="Times New Roman" w:hAnsi="Times New Roman"/>
          <w:sz w:val="20"/>
        </w:rPr>
      </w:pPr>
      <w:r>
        <w:rPr>
          <w:rFonts w:ascii="Times New Roman" w:hAnsi="Times New Roman"/>
          <w:sz w:val="20"/>
        </w:rPr>
        <w:t xml:space="preserve">(a)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existing on the Closing Date and set forth on </w:t>
      </w:r>
      <w:r>
        <w:rPr>
          <w:rFonts w:ascii="Times New Roman" w:hAnsi="Times New Roman"/>
          <w:b/>
          <w:sz w:val="20"/>
        </w:rPr>
        <w:t>Schedule 7.13</w:t>
      </w:r>
      <w:r>
        <w:rPr>
          <w:rFonts w:ascii="Times New Roman" w:hAnsi="Times New Roman"/>
          <w:sz w:val="20"/>
        </w:rPr>
        <w:t xml:space="preserve"> and Permitted Refinancings thereof; </w:t>
      </w:r>
      <w:r>
        <w:rPr>
          <w:rFonts w:ascii="Times New Roman" w:hAnsi="Times New Roman"/>
          <w:sz w:val="20"/>
          <w:u w:val="single"/>
        </w:rPr>
        <w:t>provided</w:t>
      </w:r>
      <w:r>
        <w:rPr>
          <w:rFonts w:ascii="Times New Roman" w:hAnsi="Times New Roman"/>
          <w:sz w:val="20"/>
        </w:rPr>
        <w:t xml:space="preserve"> that, in each case, such Indebtedness is subordinated to the Obligations on terms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(c) accounts payable to trade creditors for goods and services and current operating liabilities (not the result of the borrowing of money) incurred in the ordinary course of such Obligor’s or such Subsidiary’s business in accordance with customary terms and paid within one hundred twenty (120) days of becoming due, unless contested in good faith by appropriate proceedings and reserved for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Indebtedness consisting of guarantees resulting from the endorsement of negotiable instruments for collection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unsecured Indebtedness of the Issuer owing to any Subsidiary, and of any Subsidiary owing to the Issuer or any other Subsidiary, to the extent constituting an Investment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9.05(d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case, such Indebtedness is subordinated to the Obligations subject to the Intercompany Subordination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Indebtedness owing from an Obligor to a Subsidiary that is not an Obligor shall not exceed $2,500,000 in the aggregate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(f) Guarantees by any Obligor of outstanding Permitted Indebtedness of any other Obligor; </w:t>
      </w:r>
      <w:r>
        <w:rPr>
          <w:rFonts w:ascii="Times New Roman" w:hAnsi="Times New Roman"/>
          <w:sz w:val="20"/>
          <w:u w:val="single"/>
        </w:rPr>
        <w:t>provided</w:t>
      </w:r>
      <w:r>
        <w:rPr>
          <w:rFonts w:ascii="Times New Roman" w:hAnsi="Times New Roman"/>
          <w:sz w:val="20"/>
        </w:rPr>
        <w:t xml:space="preserve"> that to the extent that any such Permitted Indebtedness is subordinated to the Obligations, such Guarantees shall be similarly subordinated; </w:t>
      </w:r>
    </w:p>
    <w:p>
      <w:pPr>
        <w:pStyle w:val="TextBody"/>
        <w:bidi w:val="0"/>
        <w:spacing w:before="120" w:after="0"/>
        <w:jc w:val="left"/>
        <w:rPr>
          <w:rFonts w:ascii="Times New Roman" w:hAnsi="Times New Roman"/>
          <w:sz w:val="20"/>
        </w:rPr>
      </w:pPr>
      <w:r>
        <w:rPr>
          <w:rFonts w:ascii="Times New Roman" w:hAnsi="Times New Roman"/>
          <w:sz w:val="20"/>
        </w:rPr>
        <w:t xml:space="preserve">(g) equipment financing, leasing and Capital Lease Obligations; </w:t>
      </w:r>
      <w:r>
        <w:rPr>
          <w:rFonts w:ascii="Times New Roman" w:hAnsi="Times New Roman"/>
          <w:sz w:val="20"/>
          <w:u w:val="single"/>
        </w:rPr>
        <w:t>provided</w:t>
      </w:r>
      <w:r>
        <w:rPr>
          <w:rFonts w:ascii="Times New Roman" w:hAnsi="Times New Roman"/>
          <w:sz w:val="20"/>
        </w:rPr>
        <w:t xml:space="preserve"> that (i) if secured, the collateral therefor consists solely of the assets being financed, the products and proceeds thereof and books and records related thereto, and (ii) the aggregate outstanding principal amount of such Indebtedness does not exceed $20,000,000 (or the Equivalent Amount in other currencies) in the aggregate at any time;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under Hedging Agreements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9.05(e)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[reserved];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consisting of the financing of insurance premiums in respect of insurance policies insuring assets or businesses of an Obligor written or arranged in such Obligor’s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Indebtedness incurred in connection with cash management services, including treasury, depository, overdraft, credit or debit card, purchasing cards, electronic funds transfer, automatic clearing house arrangements, cash pooling arrangements, netting services, over draft protections, merchant services and other cash management and similar arrangements of an Obligor or any of its Subsidiaries,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incurred under performance, surety, bid, statutory and appeal bonds, completion guarantees and other similar obligations,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in respect of worker’s compensation claims, payment obligations in connection with health, disability or other types of social security benefits, unemployment or other insurance obligations and reclamation and statutory obligations,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in respect of letters of credit, bank guarantees or similar instruments incurred in the ordinary course of business; </w:t>
      </w:r>
      <w:r>
        <w:rPr>
          <w:rFonts w:ascii="Times New Roman" w:hAnsi="Times New Roman"/>
          <w:sz w:val="20"/>
          <w:u w:val="single"/>
        </w:rPr>
        <w:t>provided</w:t>
      </w:r>
      <w:r>
        <w:rPr>
          <w:rFonts w:ascii="Times New Roman" w:hAnsi="Times New Roman"/>
          <w:sz w:val="20"/>
        </w:rPr>
        <w:t xml:space="preserve"> that the aggregate face amount of all such letters of credit, bank guarantees or other instruments (including letters of credit outstanding on the Closing Date) shall not exceed $5,000,000 at any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Indebtedness consisting of Investments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assumed in connection with a Permitted Acquisition after the Closing Date in an aggregate principal amount not to exceed at any one time outstanding, $5,000,000; </w:t>
      </w:r>
      <w:r>
        <w:rPr>
          <w:rFonts w:ascii="Times New Roman" w:hAnsi="Times New Roman"/>
          <w:sz w:val="20"/>
          <w:u w:val="single"/>
        </w:rPr>
        <w:t>provided</w:t>
      </w:r>
      <w:r>
        <w:rPr>
          <w:rFonts w:ascii="Times New Roman" w:hAnsi="Times New Roman"/>
          <w:sz w:val="20"/>
        </w:rPr>
        <w:t xml:space="preserve"> that (i) such Indebtedness exists at the time such Permitted Acquisition is consummated and is not created or incurred in connection therewith or in contemplation thereof, (ii) no Event of Default exists or would result therefrom, and (iii) no Obligor (other than such Person so acquired in such Permitted Acquisition or any other Person that such Person merges with or that acquires the assets of such Person in connection with such Permitted Acquisition) shall have any liability or other obligation with respect to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(q) advances or deposits from customers or vendors received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(r) Indebtedness of the Issuer or any Subsidiary owed pursuant to (i) the Blackstone Collaboration Agreement, (ii) the BioNTech License Agreement or (iii) the UCLB License Agreement; and </w:t>
      </w:r>
    </w:p>
    <w:p>
      <w:pPr>
        <w:pStyle w:val="TextBody"/>
        <w:bidi w:val="0"/>
        <w:spacing w:before="120" w:after="0"/>
        <w:jc w:val="left"/>
        <w:rPr>
          <w:rFonts w:ascii="Times New Roman" w:hAnsi="Times New Roman"/>
          <w:sz w:val="20"/>
        </w:rPr>
      </w:pPr>
      <w:r>
        <w:rPr>
          <w:rFonts w:ascii="Times New Roman" w:hAnsi="Times New Roman"/>
          <w:sz w:val="20"/>
        </w:rPr>
        <w:t xml:space="preserve">(s) other unsecured Indebtedness in an aggregate amount not to exceed $2,500,000 in the aggregate at any time outstanding. </w:t>
      </w:r>
    </w:p>
    <w:p>
      <w:pPr>
        <w:pStyle w:val="TextBody"/>
        <w:bidi w:val="0"/>
        <w:spacing w:before="120" w:after="0"/>
        <w:jc w:val="left"/>
        <w:rPr>
          <w:rFonts w:ascii="Times New Roman" w:hAnsi="Times New Roman"/>
          <w:sz w:val="20"/>
        </w:rPr>
      </w:pPr>
      <w:r>
        <w:rPr>
          <w:rFonts w:ascii="Times New Roman" w:hAnsi="Times New Roman"/>
          <w:b/>
          <w:sz w:val="20"/>
        </w:rPr>
        <w:t>9.02</w:t>
      </w:r>
      <w:r>
        <w:rPr>
          <w:rFonts w:ascii="Times New Roman" w:hAnsi="Times New Roman"/>
          <w:sz w:val="20"/>
        </w:rPr>
        <w:t xml:space="preserve"> </w:t>
      </w:r>
      <w:r>
        <w:rPr>
          <w:rFonts w:ascii="Times New Roman" w:hAnsi="Times New Roman"/>
          <w:b/>
          <w:sz w:val="20"/>
        </w:rPr>
        <w:t>Liens</w:t>
      </w:r>
      <w:r>
        <w:rPr>
          <w:rFonts w:ascii="Times New Roman" w:hAnsi="Times New Roman"/>
          <w:sz w:val="20"/>
        </w:rPr>
        <w:t xml:space="preserve">. Each Obligor shall not, and shall not permit any of its Subsidiaries to, create, incur, assume or permit to exist any Lien on any property now or in the future owned by it or such Subsidiary,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securing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(b) any Lien on any property or asset of an Obligor or any of its Subsidiaries existing on the Closing Date and set forth on </w:t>
      </w:r>
      <w:r>
        <w:rPr>
          <w:rFonts w:ascii="Times New Roman" w:hAnsi="Times New Roman"/>
          <w:b/>
          <w:sz w:val="20"/>
        </w:rPr>
        <w:t>Schedule 9.02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no such Lien shall extend to any other property or asset of such Obligor or any of its Subsidiaries (other than improvements and accessions to such property or asset) and (ii) any such Lien shall secure only those obligations that it secures on the Closing Date and extensions, renewals and replacements thereof that do not increase the outstanding principal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(c) Liens securing Indebtedness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Liens are restricted solely to the collateral permitted to be secured by </w:t>
      </w:r>
      <w:r>
        <w:rPr>
          <w:rFonts w:ascii="Times New Roman" w:hAnsi="Times New Roman"/>
          <w:b/>
          <w:sz w:val="20"/>
        </w:rPr>
        <w:t>Section</w:t>
      </w:r>
      <w:r>
        <w:rPr>
          <w:rFonts w:ascii="Times New Roman" w:hAnsi="Times New Roman"/>
          <w:sz w:val="20"/>
        </w:rPr>
        <w:t> </w:t>
      </w:r>
      <w:r>
        <w:rPr>
          <w:rFonts w:ascii="Times New Roman" w:hAnsi="Times New Roman"/>
          <w:b/>
          <w:sz w:val="20"/>
        </w:rPr>
        <w:t>9.01(g)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Liens imposed by any applicable Law arising in the ordinary course of business, including (but not limited to) carriers’, warehousemen’s and mechanics’ liens, materialmen’s liens and other similar Liens arising in the ordinary course of business and which (x) do not in the aggregate materially detract from the value of the property subject thereto or materially impair the use thereof in the operations of the business of such Person or (y) are being contested in good faith by appropriate proceedings, having the effect of preventing the forfeiture or sale of the property subject to such Liens and for which adequate reserves have been made if required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pledges or deposits made in the ordinary course of business in connection with (i) real property leases entered into in the ordinary course of business, (ii) obligations in respect of workers’ compensation, unemployment insurance or other similar social security legislation, to the extent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9.01(m)</w:t>
      </w:r>
      <w:r>
        <w:rPr>
          <w:rFonts w:ascii="Times New Roman" w:hAnsi="Times New Roman"/>
          <w:sz w:val="20"/>
        </w:rPr>
        <w:t xml:space="preserve">, or (iii) obligations in respect of surety or appeal bonds, bid or performance bonds, or other obligations of a like nature, to the extent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9.01(l)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(g) servitudes, easements, rights of way, restrictions and other similar encumbrances on real property imposed by any applicable Law or by any lease pursuant to which an Obligor holds its interest in a Material Real Property or Future Acquired Material Real Property and Liens consisting of zoning or building restrictions, easements, licenses, restrictions on the use of property or minor imperfections in title thereto that, in the aggregate, are not material, and which do not in any case materially detract from the value of the property subject thereto or interfere in any material respects with the ordinary conduct of the business of any of the Obligors or any of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applicable Law or expressed in any lease pursuant to which an Obligor holds its interest in a Material Real Property or Future Acquired Material Real Property; (iii) rights of expropriation, access or user or any similar right conferred or reserved by or in any applicable Law, which, in the aggregate for </w:t>
      </w:r>
      <w:r>
        <w:rPr>
          <w:rFonts w:ascii="Times New Roman" w:hAnsi="Times New Roman"/>
          <w:b/>
          <w:sz w:val="20"/>
        </w:rPr>
        <w:t>clauses (i)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and </w:t>
      </w:r>
      <w:r>
        <w:rPr>
          <w:rFonts w:ascii="Times New Roman" w:hAnsi="Times New Roman"/>
          <w:b/>
          <w:sz w:val="20"/>
        </w:rPr>
        <w:t>(iii)</w:t>
      </w:r>
      <w:r>
        <w:rPr>
          <w:rFonts w:ascii="Times New Roman" w:hAnsi="Times New Roman"/>
          <w:sz w:val="20"/>
        </w:rPr>
        <w:t xml:space="preserve">, are not material, and which do not in any case materially detract from the value of the property subject thereto or interfere in any material respects with the ordinary conduct of the business of any of the Obligors or its Subsidiaries and (iv) leases or subleases of real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bankers’ liens, rights of setoff and similar Liens incurred on deposits made to a bank on deposit accounts to the extent permitted to be made hereunder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any judgment Lien not constituting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(k) interests of lessors and sublessors under operating leases, interests of licensors or sublicensors under license agreements, and with respect to any realty occupied by any Obligor or any of its Subsidiaries, all easements, rights of way, reservations, licenses, covenants encroachments, variations and similar restrictions, charges and encumbrances on title that, in any such case or event, do not secure monetary obligations (other than any Permitted Lien set out in </w:t>
      </w:r>
      <w:r>
        <w:rPr>
          <w:rFonts w:ascii="Times New Roman" w:hAnsi="Times New Roman"/>
          <w:b/>
          <w:sz w:val="20"/>
        </w:rPr>
        <w:t>Schedule 9.02</w:t>
      </w:r>
      <w:r>
        <w:rPr>
          <w:rFonts w:ascii="Times New Roman" w:hAnsi="Times New Roman"/>
          <w:sz w:val="20"/>
        </w:rPr>
        <w:t xml:space="preserve">) and do not materially impair the use of such property for its intended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Liens on cash held on deposit to secure (i) letters of credit, bank guarantees or similar instruments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9.01(n)</w:t>
      </w:r>
      <w:r>
        <w:rPr>
          <w:rFonts w:ascii="Times New Roman" w:hAnsi="Times New Roman"/>
          <w:sz w:val="20"/>
        </w:rPr>
        <w:t xml:space="preserve"> in an amount not to exceed 105% (or 110% for letters of credit denominated in a currency other than Sterling) of the face amount of such letters of credit, bank guarantees or similar instruments, so long as such cash is held in segregated accounts maintained with the issuers of such letters of credit, bank guarantees or similar instruments or (ii) credit cards, credit card processing services, debit cards, stored value cards, purchase cards (including so-called “procurement cards” or “P-cards”) or other similar cash management or merchant services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9.01(k)</w:t>
      </w:r>
      <w:r>
        <w:rPr>
          <w:rFonts w:ascii="Times New Roman" w:hAnsi="Times New Roman"/>
          <w:sz w:val="20"/>
        </w:rPr>
        <w:t xml:space="preserve"> in an amount not to exceed $1,500,000; </w:t>
      </w:r>
    </w:p>
    <w:p>
      <w:pPr>
        <w:pStyle w:val="TextBody"/>
        <w:bidi w:val="0"/>
        <w:spacing w:before="120" w:after="0"/>
        <w:jc w:val="left"/>
        <w:rPr>
          <w:rFonts w:ascii="Times New Roman" w:hAnsi="Times New Roman"/>
          <w:sz w:val="20"/>
        </w:rPr>
      </w:pPr>
      <w:r>
        <w:rPr>
          <w:rFonts w:ascii="Times New Roman" w:hAnsi="Times New Roman"/>
          <w:sz w:val="20"/>
        </w:rPr>
        <w:t xml:space="preserve">(m) Liens securing Indebtedness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Permitted Acquisition or this Agreement, (ii) such Lien shall not apply to any other property or assets of the Issuer or any of its Subsidiaries other than the property or assets being acquired pursuant to such Permitted Acquisition, (iii) such Lien shall secure only those obligations that it secured immediately prior to the consummation of such Permitted Acquisition and extensions, renewals and replacements thereof that do not increase the outstanding principal amount thereof and (iv) such Lien does not secure any Contingent Acquisition Obligation; </w:t>
      </w:r>
    </w:p>
    <w:p>
      <w:pPr>
        <w:pStyle w:val="TextBody"/>
        <w:bidi w:val="0"/>
        <w:spacing w:before="120" w:after="0"/>
        <w:jc w:val="left"/>
        <w:rPr>
          <w:rFonts w:ascii="Times New Roman" w:hAnsi="Times New Roman"/>
          <w:sz w:val="20"/>
        </w:rPr>
      </w:pPr>
      <w:r>
        <w:rPr>
          <w:rFonts w:ascii="Times New Roman" w:hAnsi="Times New Roman"/>
          <w:sz w:val="20"/>
        </w:rPr>
        <w:t xml:space="preserve">(n) (i) Liens arising from rights of licensees or licensors, as the case may be, arising under licenses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9.19</w:t>
      </w:r>
      <w:r>
        <w:rPr>
          <w:rFonts w:ascii="Times New Roman" w:hAnsi="Times New Roman"/>
          <w:sz w:val="20"/>
        </w:rPr>
        <w:t xml:space="preserve">, and (ii) any ordinary course interest or title of a licensor, sublicensor, lessor or sublessor with respect to any assets under any inbound license or lease agreement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Liens securing Indebtedness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9.01(j)</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Lien shall be solely limited to the applicable insurance policies, supporting documentation relating thereto and the Obligor’s right to receive proceeds under such insurance policy with respect to which such Indebtedness has been incurred; </w:t>
      </w:r>
    </w:p>
    <w:p>
      <w:pPr>
        <w:pStyle w:val="TextBody"/>
        <w:bidi w:val="0"/>
        <w:spacing w:before="120" w:after="0"/>
        <w:jc w:val="left"/>
        <w:rPr>
          <w:rFonts w:ascii="Times New Roman" w:hAnsi="Times New Roman"/>
          <w:sz w:val="20"/>
        </w:rPr>
      </w:pPr>
      <w:r>
        <w:rPr>
          <w:rFonts w:ascii="Times New Roman" w:hAnsi="Times New Roman"/>
          <w:sz w:val="20"/>
        </w:rPr>
        <w:t xml:space="preserve">(p) Liens in favor of customs and revenue authorities arising as a matter of law to secure payment of customs duties in connection with the importation of goods; or </w:t>
      </w:r>
    </w:p>
    <w:p>
      <w:pPr>
        <w:pStyle w:val="TextBody"/>
        <w:bidi w:val="0"/>
        <w:spacing w:before="120" w:after="0"/>
        <w:jc w:val="left"/>
        <w:rPr>
          <w:rFonts w:ascii="Times New Roman" w:hAnsi="Times New Roman"/>
          <w:sz w:val="20"/>
        </w:rPr>
      </w:pPr>
      <w:r>
        <w:rPr>
          <w:rFonts w:ascii="Times New Roman" w:hAnsi="Times New Roman"/>
          <w:sz w:val="20"/>
        </w:rPr>
        <w:t xml:space="preserve">(q) Permitted Licenses. </w:t>
      </w:r>
    </w:p>
    <w:p>
      <w:pPr>
        <w:pStyle w:val="TextBody"/>
        <w:bidi w:val="0"/>
        <w:spacing w:before="120" w:after="0"/>
        <w:jc w:val="left"/>
        <w:rPr>
          <w:rFonts w:ascii="Times New Roman" w:hAnsi="Times New Roman"/>
          <w:sz w:val="20"/>
        </w:rPr>
      </w:pPr>
      <w:r>
        <w:rPr>
          <w:rFonts w:ascii="Times New Roman" w:hAnsi="Times New Roman"/>
          <w:b/>
          <w:sz w:val="20"/>
        </w:rPr>
        <w:t>9.03</w:t>
      </w:r>
      <w:r>
        <w:rPr>
          <w:rFonts w:ascii="Times New Roman" w:hAnsi="Times New Roman"/>
          <w:sz w:val="20"/>
        </w:rPr>
        <w:t xml:space="preserve"> </w:t>
      </w:r>
      <w:r>
        <w:rPr>
          <w:rFonts w:ascii="Times New Roman" w:hAnsi="Times New Roman"/>
          <w:b/>
          <w:sz w:val="20"/>
        </w:rPr>
        <w:t>Fundamental Changes, Acquisitions, Etc.</w:t>
      </w:r>
      <w:r>
        <w:rPr>
          <w:rFonts w:ascii="Times New Roman" w:hAnsi="Times New Roman"/>
          <w:sz w:val="20"/>
        </w:rPr>
        <w:t xml:space="preserve"> Each Obligor shall not, and shall not permit any of its Subsidiaries to, (i) enter into any transaction of merger, amalgamation or consolidation, (ii) liquidate, wind up or dissolve itself (or suffer any liquidation or dissolution), (iii) sell or issue any Disqualified Equity Interests, or (iv) other than Permitted Acquisitions, make any Acquisition or otherwise acquire any business or substantially all the property from, or Equity Interests of, or be a party to any Acquisition of, any Person, except for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in connection with any Investment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any Obligor or any of its Subsidiaries may merge into or consolidate with any other Person or permit any other Person to merge into or consolidate with it, so long as (i) the Person surviving such merger with any Subsidiary shall be a direct or indirect wholly-owned Subsidiary of the Issuer, (ii) in the case of any such merger to which the Issuer is a party, the Issuer is the surviving Person, (iii) in the case of any such merger to which Intermediate Holdings is a party (other than a merger to which the Issuer is a party) Intermediate Holdings is the surviving Person, and (iv) in the case of any such merger to which an Obligor (other than the Issuer or Intermediate Holdings) is a party, the surviving Person is such Obligor or concurrently herewith becomes an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Permitted Acquisitions; </w:t>
      </w:r>
    </w:p>
    <w:p>
      <w:pPr>
        <w:pStyle w:val="TextBody"/>
        <w:bidi w:val="0"/>
        <w:spacing w:before="120" w:after="0"/>
        <w:jc w:val="left"/>
        <w:rPr>
          <w:rFonts w:ascii="Times New Roman" w:hAnsi="Times New Roman"/>
          <w:sz w:val="20"/>
        </w:rPr>
      </w:pPr>
      <w:r>
        <w:rPr>
          <w:rFonts w:ascii="Times New Roman" w:hAnsi="Times New Roman"/>
          <w:sz w:val="20"/>
        </w:rPr>
        <w:t xml:space="preserve">(c) so long as no Event of Default exists or would result therefrom, the merger, amalgamation or consolidation of (i) any Subsidiary with or into any Obligor; </w:t>
      </w:r>
      <w:r>
        <w:rPr>
          <w:rFonts w:ascii="Times New Roman" w:hAnsi="Times New Roman"/>
          <w:sz w:val="20"/>
          <w:u w:val="single"/>
        </w:rPr>
        <w:t>provided</w:t>
      </w:r>
      <w:r>
        <w:rPr>
          <w:rFonts w:ascii="Times New Roman" w:hAnsi="Times New Roman"/>
          <w:sz w:val="20"/>
        </w:rPr>
        <w:t xml:space="preserve"> that with respect to any such transaction involving (x) the Issuer, the Issuer must be the surviving or successor entity of such transaction, (y) Intermediate Holdings (other than any such transaction involving the Issuer), Intermediate Holdings must be the surviving or successor entity of such transaction or (z) any other Obligor (other than the Issuer or Intermediate Holdings), such Obligor must be the surviving or successor entity of such transaction and (ii) any Excluded Subsidiary with or into any other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(d) the sale, lease, transfer or other disposition by any Subsidiary of any or all of its property (upon voluntary liquidation or otherwise) to (i) any Obligor or to any entity that concurrently therewith shall become an Obligor or (ii) if such Subsidiary is an Excluded Subsidiary, to any other Excluded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(e) any Subsidiary (other than Intermediate Holdings) may dissolve, liquidate or wind up its affairs at any time, </w:t>
      </w:r>
      <w:r>
        <w:rPr>
          <w:rFonts w:ascii="Times New Roman" w:hAnsi="Times New Roman"/>
          <w:sz w:val="20"/>
          <w:u w:val="single"/>
        </w:rPr>
        <w:t>provided</w:t>
      </w:r>
      <w:r>
        <w:rPr>
          <w:rFonts w:ascii="Times New Roman" w:hAnsi="Times New Roman"/>
          <w:sz w:val="20"/>
        </w:rPr>
        <w:t xml:space="preserve">, that, such dissolution, liquidation or winding up would not reasonably be expected to have a Material Adverse Effect and all of such Subsidiary’s assets and business are transferred to an Obligor (other than the Issuer) or solely in the case of a Subsidiary that is not an Obligor, another Subsidiary that is not an Obligor prior to or concurrently with such dissolution, liquidation or winding up. </w:t>
      </w:r>
    </w:p>
    <w:p>
      <w:pPr>
        <w:pStyle w:val="TextBody"/>
        <w:bidi w:val="0"/>
        <w:spacing w:before="120" w:after="0"/>
        <w:jc w:val="left"/>
        <w:rPr>
          <w:rFonts w:ascii="Times New Roman" w:hAnsi="Times New Roman"/>
          <w:sz w:val="20"/>
        </w:rPr>
      </w:pPr>
      <w:r>
        <w:rPr>
          <w:rFonts w:ascii="Times New Roman" w:hAnsi="Times New Roman"/>
          <w:b/>
          <w:sz w:val="20"/>
        </w:rPr>
        <w:t>9.04</w:t>
      </w:r>
      <w:r>
        <w:rPr>
          <w:rFonts w:ascii="Times New Roman" w:hAnsi="Times New Roman"/>
          <w:sz w:val="20"/>
        </w:rPr>
        <w:t xml:space="preserve"> </w:t>
      </w:r>
      <w:r>
        <w:rPr>
          <w:rFonts w:ascii="Times New Roman" w:hAnsi="Times New Roman"/>
          <w:b/>
          <w:sz w:val="20"/>
        </w:rPr>
        <w:t>Lines of Business</w:t>
      </w:r>
      <w:r>
        <w:rPr>
          <w:rFonts w:ascii="Times New Roman" w:hAnsi="Times New Roman"/>
          <w:sz w:val="20"/>
        </w:rPr>
        <w:t xml:space="preserve">. Each Obligor shall not, and shall not permit any of its Subsidiaries to, engage to any material extent in any business other than the business engaged in on the Closing Date by such Persons or a business reasonably related or ancillary thereto or a reasonable extension thereof. </w:t>
      </w:r>
    </w:p>
    <w:p>
      <w:pPr>
        <w:pStyle w:val="TextBody"/>
        <w:bidi w:val="0"/>
        <w:spacing w:before="120" w:after="0"/>
        <w:jc w:val="left"/>
        <w:rPr>
          <w:rFonts w:ascii="Times New Roman" w:hAnsi="Times New Roman"/>
          <w:sz w:val="20"/>
        </w:rPr>
      </w:pPr>
      <w:r>
        <w:rPr>
          <w:rFonts w:ascii="Times New Roman" w:hAnsi="Times New Roman"/>
          <w:b/>
          <w:sz w:val="20"/>
        </w:rPr>
        <w:t>9.05</w:t>
      </w:r>
      <w:r>
        <w:rPr>
          <w:rFonts w:ascii="Times New Roman" w:hAnsi="Times New Roman"/>
          <w:sz w:val="20"/>
        </w:rPr>
        <w:t xml:space="preserve"> </w:t>
      </w:r>
      <w:r>
        <w:rPr>
          <w:rFonts w:ascii="Times New Roman" w:hAnsi="Times New Roman"/>
          <w:b/>
          <w:sz w:val="20"/>
        </w:rPr>
        <w:t>Investments</w:t>
      </w:r>
      <w:r>
        <w:rPr>
          <w:rFonts w:ascii="Times New Roman" w:hAnsi="Times New Roman"/>
          <w:sz w:val="20"/>
        </w:rPr>
        <w:t xml:space="preserve">. Each Obligor shall not, and shall not permit any of its Subsidiaries to, make, directly or indirectly, or permit to remain outstanding any Investments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outstanding on the Closing Date and identified on </w:t>
      </w:r>
      <w:r>
        <w:rPr>
          <w:rFonts w:ascii="Times New Roman" w:hAnsi="Times New Roman"/>
          <w:b/>
          <w:sz w:val="20"/>
        </w:rPr>
        <w:t xml:space="preserve">Schedule 9.05 </w:t>
      </w:r>
      <w:r>
        <w:rPr>
          <w:rFonts w:ascii="Times New Roman" w:hAnsi="Times New Roman"/>
          <w:sz w:val="20"/>
        </w:rPr>
        <w:t xml:space="preserve">and any modification, replacement, renewal or extension thereof to the extent not involving new or additional Investments; </w:t>
      </w:r>
    </w:p>
    <w:p>
      <w:pPr>
        <w:pStyle w:val="TextBody"/>
        <w:bidi w:val="0"/>
        <w:spacing w:before="120" w:after="0"/>
        <w:jc w:val="left"/>
        <w:rPr>
          <w:rFonts w:ascii="Times New Roman" w:hAnsi="Times New Roman"/>
          <w:sz w:val="20"/>
        </w:rPr>
      </w:pPr>
      <w:r>
        <w:rPr>
          <w:rFonts w:ascii="Times New Roman" w:hAnsi="Times New Roman"/>
          <w:sz w:val="20"/>
        </w:rPr>
        <w:t xml:space="preserve">(b) extensions of credit in the nature of accounts receivable or notes receivable arising from (i) the sales of goods or services in the ordinary course of business and prepaid royalties, (ii) the satisfaction or partial satisfaction thereof to the extent reasonably necessary in order to prevent or limit loss and any prepayments and other credits to suppliers made in good faith and in the ordinary course of business or (iii) the satisfaction, partial satisfaction or enforcement of Indebtedness or Claims due or owing to an Obligor or its Subsidiaries (in bankruptcy of customers or suppliers or otherwise outside the ordinary course of business) or as security for any such Indebtedness or Claims in good faith and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Permitted Cash Equivalent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Investments by the Issuer or any of its Subsidiaries in the Issuer or any of its Subsidiaries; </w:t>
      </w:r>
      <w:r>
        <w:rPr>
          <w:rFonts w:ascii="Times New Roman" w:hAnsi="Times New Roman"/>
          <w:sz w:val="20"/>
          <w:u w:val="single"/>
        </w:rPr>
        <w:t>provided</w:t>
      </w:r>
      <w:r>
        <w:rPr>
          <w:rFonts w:ascii="Times New Roman" w:hAnsi="Times New Roman"/>
          <w:sz w:val="20"/>
        </w:rPr>
        <w:t xml:space="preserve"> that (i) any Investment made by any Subsidiary that is not an Obligor in any Obligor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9.05(d)</w:t>
      </w:r>
      <w:r>
        <w:rPr>
          <w:rFonts w:ascii="Times New Roman" w:hAnsi="Times New Roman"/>
          <w:sz w:val="20"/>
        </w:rPr>
        <w:t xml:space="preserve"> shall be subordinated in right of payment to the Notes pursuant to the Intercompany Subordination Agreement and (ii) the aggregate amount of such Investments in Subsidiaries that are not Obligors or in Obligors that have not delivered security documents in its jurisdiction of organization shall not exceed $2,000,000 in the aggregate per fiscal year; </w:t>
      </w:r>
      <w:r>
        <w:rPr>
          <w:rFonts w:ascii="Times New Roman" w:hAnsi="Times New Roman"/>
          <w:sz w:val="20"/>
          <w:u w:val="single"/>
        </w:rPr>
        <w:t>provided</w:t>
      </w:r>
      <w:r>
        <w:rPr>
          <w:rFonts w:ascii="Times New Roman" w:hAnsi="Times New Roman"/>
          <w:sz w:val="20"/>
        </w:rPr>
        <w:t xml:space="preserve"> that any such Investments in the form of Indebtedness shall also be subject to the limitations in </w:t>
      </w:r>
      <w:r>
        <w:rPr>
          <w:rFonts w:ascii="Times New Roman" w:hAnsi="Times New Roman"/>
          <w:b/>
          <w:sz w:val="20"/>
        </w:rPr>
        <w:t>Section</w:t>
      </w:r>
      <w:r>
        <w:rPr>
          <w:rFonts w:ascii="Times New Roman" w:hAnsi="Times New Roman"/>
          <w:sz w:val="20"/>
        </w:rPr>
        <w:t> </w:t>
      </w:r>
      <w:r>
        <w:rPr>
          <w:rFonts w:ascii="Times New Roman" w:hAnsi="Times New Roman"/>
          <w:b/>
          <w:sz w:val="20"/>
        </w:rPr>
        <w:t>9.01(e)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Hedging Agreements entered into in the Issuer’s or any of its Subsidiaries’ ordinary course of business for the purpose of hedging currency risks or interest rate risks (but not for speculative purposes) and in an aggregate notional amount for all such Hedging Agreements not in excess of $1,000,000 (or the Equivalent Amount in other currencies); </w:t>
      </w:r>
    </w:p>
    <w:p>
      <w:pPr>
        <w:pStyle w:val="TextBody"/>
        <w:bidi w:val="0"/>
        <w:spacing w:before="120" w:after="0"/>
        <w:jc w:val="left"/>
        <w:rPr>
          <w:rFonts w:ascii="Times New Roman" w:hAnsi="Times New Roman"/>
          <w:sz w:val="20"/>
        </w:rPr>
      </w:pPr>
      <w:r>
        <w:rPr>
          <w:rFonts w:ascii="Times New Roman" w:hAnsi="Times New Roman"/>
          <w:sz w:val="20"/>
        </w:rPr>
        <w:t xml:space="preserve">(f) Investments consisting of prepaid expenses, negotiable instruments held for collection or deposit, security deposits with utilities and landlords to secure office space and other like Persons and deposits in connection with workers’ compensation and similar deposits, in each case,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employee loans, travel advances and guarantees in accordance with the Issuer’s usual and customary practices with respect thereto (if permitted by applicable Law) which in the aggregate shall not exceed $1,000,000 outstanding at any time (or the Equivalent Amount in other currencies); </w:t>
      </w:r>
    </w:p>
    <w:p>
      <w:pPr>
        <w:pStyle w:val="TextBody"/>
        <w:bidi w:val="0"/>
        <w:spacing w:before="120" w:after="0"/>
        <w:jc w:val="left"/>
        <w:rPr>
          <w:rFonts w:ascii="Times New Roman" w:hAnsi="Times New Roman"/>
          <w:sz w:val="20"/>
        </w:rPr>
      </w:pPr>
      <w:r>
        <w:rPr>
          <w:rFonts w:ascii="Times New Roman" w:hAnsi="Times New Roman"/>
          <w:sz w:val="20"/>
        </w:rPr>
        <w:t xml:space="preserve">(h) Investments received in connection with any Insolvency Proceedings in respect of any customers, suppliers or clients and in settlement of delinquent obligations of, and other disputes with, customers, suppliers or clients; </w:t>
      </w:r>
    </w:p>
    <w:p>
      <w:pPr>
        <w:pStyle w:val="TextBody"/>
        <w:bidi w:val="0"/>
        <w:spacing w:before="120" w:after="0"/>
        <w:jc w:val="left"/>
        <w:rPr>
          <w:rFonts w:ascii="Times New Roman" w:hAnsi="Times New Roman"/>
          <w:sz w:val="20"/>
        </w:rPr>
      </w:pPr>
      <w:r>
        <w:rPr>
          <w:rFonts w:ascii="Times New Roman" w:hAnsi="Times New Roman"/>
          <w:sz w:val="20"/>
        </w:rPr>
        <w:t xml:space="preserve">(i) Investments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9.01(d)</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advances and extensions of credit (including to trade creditors) in the nature of trade payables made in connection with the purchases of goods or services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[reserved]; </w:t>
      </w:r>
    </w:p>
    <w:p>
      <w:pPr>
        <w:pStyle w:val="TextBody"/>
        <w:bidi w:val="0"/>
        <w:spacing w:before="120" w:after="0"/>
        <w:jc w:val="left"/>
        <w:rPr>
          <w:rFonts w:ascii="Times New Roman" w:hAnsi="Times New Roman"/>
          <w:sz w:val="20"/>
        </w:rPr>
      </w:pPr>
      <w:r>
        <w:rPr>
          <w:rFonts w:ascii="Times New Roman" w:hAnsi="Times New Roman"/>
          <w:sz w:val="20"/>
        </w:rPr>
        <w:t xml:space="preserve">(l) Investments in the form of non-cash loans and advances in an aggregate amount not to exceed $1,000,000 outstanding at any one time to employees, officers, and directors of any Obligor or any of its Subsidiaries for the purpose of purchasing Qualified Equity Interests in the Issuer so long as the proceeds of such loans are used in their entirety to purchase such Qualified Equity Interests in the Issuer; </w:t>
      </w:r>
    </w:p>
    <w:p>
      <w:pPr>
        <w:pStyle w:val="TextBody"/>
        <w:bidi w:val="0"/>
        <w:spacing w:before="120" w:after="0"/>
        <w:jc w:val="left"/>
        <w:rPr>
          <w:rFonts w:ascii="Times New Roman" w:hAnsi="Times New Roman"/>
          <w:sz w:val="20"/>
        </w:rPr>
      </w:pPr>
      <w:r>
        <w:rPr>
          <w:rFonts w:ascii="Times New Roman" w:hAnsi="Times New Roman"/>
          <w:sz w:val="20"/>
        </w:rPr>
        <w:t xml:space="preserve">(m) [reserved]; </w:t>
      </w:r>
    </w:p>
    <w:p>
      <w:pPr>
        <w:pStyle w:val="TextBody"/>
        <w:bidi w:val="0"/>
        <w:spacing w:before="120" w:after="0"/>
        <w:jc w:val="left"/>
        <w:rPr>
          <w:rFonts w:ascii="Times New Roman" w:hAnsi="Times New Roman"/>
          <w:sz w:val="20"/>
        </w:rPr>
      </w:pPr>
      <w:r>
        <w:rPr>
          <w:rFonts w:ascii="Times New Roman" w:hAnsi="Times New Roman"/>
          <w:sz w:val="20"/>
        </w:rPr>
        <w:t xml:space="preserve">(n) to the extent constituting Investments, Permitted Licenses; </w:t>
      </w:r>
    </w:p>
    <w:p>
      <w:pPr>
        <w:pStyle w:val="TextBody"/>
        <w:bidi w:val="0"/>
        <w:spacing w:before="120" w:after="0"/>
        <w:jc w:val="left"/>
        <w:rPr>
          <w:rFonts w:ascii="Times New Roman" w:hAnsi="Times New Roman"/>
          <w:sz w:val="20"/>
        </w:rPr>
      </w:pPr>
      <w:r>
        <w:rPr>
          <w:rFonts w:ascii="Times New Roman" w:hAnsi="Times New Roman"/>
          <w:sz w:val="20"/>
        </w:rPr>
        <w:t xml:space="preserve">(o)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Investments by the Obligors in Subsidiaries pursuant to Tax sharing arrangements, transfer pricing arrangements or cost plus arrangements, in each case, solely as between or among the Obligors and one or more of their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(q) other Investments in an aggregate amount not to exceed $1,000,000 in the aggregate since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Agreement to the contrary, (i) the Obligors shall not, and shall not permit any of their Subsidiaries to (x) directly or indirectly transfer, by means of contribution, sale, assignment, lease or sublease, license or sublicense, or other disposition of any kind (including as an Investment, Restricted Payment or Asset Sale), any Material Intellectual Property or Material Agreement other than pursuant to Permitted Licenses or (y) permit any Person other than an Obligor to license or own any interest in any Material Intellectual Property or Material Agreement owned by such Obligor other than pursuant to Permitted Licenses, and (ii) no Material Intellectual Property or Material Agreement shall be contributed as an Investment or distributed as a Restricted Payment to any Subsidiary that (x) is not an Obligor or (y) is an Obligor who has not delivered security or collateral documents to the Administrative Agent governed by the laws of its jurisdiction of organization, other than pursuant to Permitted Licenses. </w:t>
      </w:r>
    </w:p>
    <w:p>
      <w:pPr>
        <w:pStyle w:val="TextBody"/>
        <w:bidi w:val="0"/>
        <w:spacing w:before="120" w:after="0"/>
        <w:jc w:val="left"/>
        <w:rPr>
          <w:rFonts w:ascii="Times New Roman" w:hAnsi="Times New Roman"/>
          <w:sz w:val="20"/>
        </w:rPr>
      </w:pPr>
      <w:r>
        <w:rPr>
          <w:rFonts w:ascii="Times New Roman" w:hAnsi="Times New Roman"/>
          <w:b/>
          <w:sz w:val="20"/>
        </w:rPr>
        <w:t>9.06</w:t>
      </w:r>
      <w:r>
        <w:rPr>
          <w:rFonts w:ascii="Times New Roman" w:hAnsi="Times New Roman"/>
          <w:sz w:val="20"/>
        </w:rPr>
        <w:t xml:space="preserve"> </w:t>
      </w:r>
      <w:r>
        <w:rPr>
          <w:rFonts w:ascii="Times New Roman" w:hAnsi="Times New Roman"/>
          <w:b/>
          <w:sz w:val="20"/>
        </w:rPr>
        <w:t>Restricted Payments</w:t>
      </w:r>
      <w:r>
        <w:rPr>
          <w:rFonts w:ascii="Times New Roman" w:hAnsi="Times New Roman"/>
          <w:sz w:val="20"/>
        </w:rPr>
        <w:t xml:space="preserve">. Each Obligor shall not, and shall not permit any of its Subsidiaries to, declare or make, or agree to pay or make, directly or indirectly, any Restricted Payment; </w:t>
      </w:r>
      <w:r>
        <w:rPr>
          <w:rFonts w:ascii="Times New Roman" w:hAnsi="Times New Roman"/>
          <w:sz w:val="20"/>
          <w:u w:val="single"/>
        </w:rPr>
        <w:t>provided</w:t>
      </w:r>
      <w:r>
        <w:rPr>
          <w:rFonts w:ascii="Times New Roman" w:hAnsi="Times New Roman"/>
          <w:sz w:val="20"/>
        </w:rPr>
        <w:t xml:space="preserve"> that the following Restricted Payments shall be permitted so long as no Event of Default shall have occurred and is continuing or would reasonably be expected to occur or result from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(a) dividends with respect to the Issuer’s Equity Interests payable solely in shares of its Qualified Equity Interests (or the equivalent thereof); </w:t>
      </w:r>
    </w:p>
    <w:p>
      <w:pPr>
        <w:pStyle w:val="TextBody"/>
        <w:bidi w:val="0"/>
        <w:spacing w:before="120" w:after="0"/>
        <w:jc w:val="left"/>
        <w:rPr>
          <w:rFonts w:ascii="Times New Roman" w:hAnsi="Times New Roman"/>
          <w:sz w:val="20"/>
        </w:rPr>
      </w:pPr>
      <w:r>
        <w:rPr>
          <w:rFonts w:ascii="Times New Roman" w:hAnsi="Times New Roman"/>
          <w:sz w:val="20"/>
        </w:rPr>
        <w:t xml:space="preserve">(b) the Issuer’s purchase, redemption, retirement or other acquisition of its Equity Interests that, with respect to any such Person, the aggregate purchase, redemption, retirement or other acquisition cost or price does not exceed $1,000,000 in the aggregate since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dividends paid by any Subsidiary to any other Obligor; </w:t>
      </w:r>
    </w:p>
    <w:p>
      <w:pPr>
        <w:pStyle w:val="TextBody"/>
        <w:bidi w:val="0"/>
        <w:spacing w:before="120" w:after="0"/>
        <w:jc w:val="left"/>
        <w:rPr>
          <w:rFonts w:ascii="Times New Roman" w:hAnsi="Times New Roman"/>
          <w:sz w:val="20"/>
        </w:rPr>
      </w:pPr>
      <w:r>
        <w:rPr>
          <w:rFonts w:ascii="Times New Roman" w:hAnsi="Times New Roman"/>
          <w:sz w:val="20"/>
        </w:rPr>
        <w:t xml:space="preserve">(d) upon the death, incapacity or termination of any natural person that is a holder of Qualified Equity Interests of the Issuer or the exercise of a right of first refusal or similar right in respect of any such holder, the Issuer may repurchase the stock of such Qualified Equity Interests of such holder or such holder’s family, trusts, estates and heirs pursuant to stock repurchase agreements in an amount not to exceed $1,000,000 per fiscal year; </w:t>
      </w:r>
    </w:p>
    <w:p>
      <w:pPr>
        <w:pStyle w:val="TextBody"/>
        <w:bidi w:val="0"/>
        <w:spacing w:before="120" w:after="0"/>
        <w:jc w:val="left"/>
        <w:rPr>
          <w:rFonts w:ascii="Times New Roman" w:hAnsi="Times New Roman"/>
          <w:sz w:val="20"/>
        </w:rPr>
      </w:pPr>
      <w:r>
        <w:rPr>
          <w:rFonts w:ascii="Times New Roman" w:hAnsi="Times New Roman"/>
          <w:sz w:val="20"/>
        </w:rPr>
        <w:t xml:space="preserve">(e) cash in lieu of the issuance of fractional shares not to exceed $1,000,000 per fiscal year; </w:t>
      </w:r>
    </w:p>
    <w:p>
      <w:pPr>
        <w:pStyle w:val="TextBody"/>
        <w:bidi w:val="0"/>
        <w:spacing w:before="120" w:after="0"/>
        <w:jc w:val="left"/>
        <w:rPr>
          <w:rFonts w:ascii="Times New Roman" w:hAnsi="Times New Roman"/>
          <w:sz w:val="20"/>
        </w:rPr>
      </w:pPr>
      <w:r>
        <w:rPr>
          <w:rFonts w:ascii="Times New Roman" w:hAnsi="Times New Roman"/>
          <w:sz w:val="20"/>
        </w:rPr>
        <w:t xml:space="preserve">(f) dividends paid by any Excluded Subsidiary to any other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repurchases of Qualified Equity Interests deemed to occur upon the exercise of stock options or warrants if such repurchased Qualified Equity Interests represents a portion of the exercise price of such options or warrants pursuant to a “cashless exercise” or similar feature;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repurchases of Qualified Equity Interests deemed to occur upon withholding of a portion of the Qualified Equity Interests granted or awarded to a current or former director, officer, employee or consultant to pay for the taxes payable by such Person upon such grant or award (or upon vesting thereof); </w:t>
      </w:r>
      <w:r>
        <w:rPr>
          <w:rFonts w:ascii="Times New Roman" w:hAnsi="Times New Roman"/>
          <w:sz w:val="20"/>
          <w:u w:val="single"/>
        </w:rPr>
        <w:t>provided</w:t>
      </w:r>
      <w:r>
        <w:rPr>
          <w:rFonts w:ascii="Times New Roman" w:hAnsi="Times New Roman"/>
          <w:sz w:val="20"/>
        </w:rPr>
        <w:t xml:space="preserve"> that, in each case, no such repurchases shall exceed $1,000,000 per year (calculated since the Closing Date), in the aggregate for all employees. </w:t>
      </w:r>
    </w:p>
    <w:p>
      <w:pPr>
        <w:pStyle w:val="TextBody"/>
        <w:bidi w:val="0"/>
        <w:spacing w:before="120" w:after="0"/>
        <w:jc w:val="left"/>
        <w:rPr>
          <w:rFonts w:ascii="Times New Roman" w:hAnsi="Times New Roman"/>
          <w:sz w:val="20"/>
        </w:rPr>
      </w:pPr>
      <w:r>
        <w:rPr>
          <w:rFonts w:ascii="Times New Roman" w:hAnsi="Times New Roman"/>
          <w:b/>
          <w:sz w:val="20"/>
        </w:rPr>
        <w:t>9.07</w:t>
      </w:r>
      <w:r>
        <w:rPr>
          <w:rFonts w:ascii="Times New Roman" w:hAnsi="Times New Roman"/>
          <w:sz w:val="20"/>
        </w:rPr>
        <w:t xml:space="preserve"> </w:t>
      </w:r>
      <w:r>
        <w:rPr>
          <w:rFonts w:ascii="Times New Roman" w:hAnsi="Times New Roman"/>
          <w:b/>
          <w:sz w:val="20"/>
        </w:rPr>
        <w:t>Payments of Indebtedness</w:t>
      </w:r>
      <w:r>
        <w:rPr>
          <w:rFonts w:ascii="Times New Roman" w:hAnsi="Times New Roman"/>
          <w:sz w:val="20"/>
        </w:rPr>
        <w:t xml:space="preserve">. Each Obligor shall not, and shall not permit any of its Subsidiaries to, make any payments in respect of any Indebtedness (including under the Blackstone Collaboration Agreement, the BioNTech License Agreement or the UCLB License Agreement) other than (i) payments of the Obligations, (ii) scheduled or other mandatory payments of, or Permitted Refinancings of, other Permitted Indebtedness (other than any Indebtedness relating to the Blackstone Collaboration Agreement, the BioNTech License Agreement or the UCLB License Agreement) that are not otherwise prohibited or limited pursuant to any subordination or similar contract that is binding upon the Issuer, any such Subsidiary or any holder of such Permitted Indebtedness, and (iii) scheduled payments under the Blackstone Collaboration Agreement, the BioNTech License Agreement or the UCLB License Agreement. </w:t>
      </w:r>
    </w:p>
    <w:p>
      <w:pPr>
        <w:pStyle w:val="TextBody"/>
        <w:bidi w:val="0"/>
        <w:spacing w:before="120" w:after="0"/>
        <w:jc w:val="left"/>
        <w:rPr>
          <w:rFonts w:ascii="Times New Roman" w:hAnsi="Times New Roman"/>
          <w:sz w:val="20"/>
        </w:rPr>
      </w:pPr>
      <w:r>
        <w:rPr>
          <w:rFonts w:ascii="Times New Roman" w:hAnsi="Times New Roman"/>
          <w:b/>
          <w:sz w:val="20"/>
        </w:rPr>
        <w:t>9.08</w:t>
      </w:r>
      <w:r>
        <w:rPr>
          <w:rFonts w:ascii="Times New Roman" w:hAnsi="Times New Roman"/>
          <w:sz w:val="20"/>
        </w:rPr>
        <w:t xml:space="preserve"> </w:t>
      </w:r>
      <w:r>
        <w:rPr>
          <w:rFonts w:ascii="Times New Roman" w:hAnsi="Times New Roman"/>
          <w:b/>
          <w:sz w:val="20"/>
        </w:rPr>
        <w:t>Change in Fiscal Year</w:t>
      </w:r>
      <w:r>
        <w:rPr>
          <w:rFonts w:ascii="Times New Roman" w:hAnsi="Times New Roman"/>
          <w:sz w:val="20"/>
        </w:rPr>
        <w:t xml:space="preserve">. Each Obligor shall not, and shall not permit any of its Subsidiaries to, change the last day of its fiscal year from that in effect on the Closing Date, except to change the fiscal year of a Subsidiary acquired in connection with a Permitted Acquisition to conform its fiscal year to that of the Issuer or otherwise with the prior written consent of the Administrative Agent,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b/>
          <w:sz w:val="20"/>
        </w:rPr>
        <w:t>9.09</w:t>
      </w:r>
      <w:r>
        <w:rPr>
          <w:rFonts w:ascii="Times New Roman" w:hAnsi="Times New Roman"/>
          <w:sz w:val="20"/>
        </w:rPr>
        <w:t xml:space="preserve"> </w:t>
      </w:r>
      <w:r>
        <w:rPr>
          <w:rFonts w:ascii="Times New Roman" w:hAnsi="Times New Roman"/>
          <w:b/>
          <w:sz w:val="20"/>
        </w:rPr>
        <w:t>Sales of Assets, Etc.</w:t>
      </w:r>
      <w:r>
        <w:rPr>
          <w:rFonts w:ascii="Times New Roman" w:hAnsi="Times New Roman"/>
          <w:sz w:val="20"/>
        </w:rPr>
        <w:t xml:space="preserve"> Except as set forth below, each Obligor shall not, and shall not permit any of its Subsidiaries to sell, lease, transfer, or otherwise dispose of any of its assets or property (including accounts receivable, Material Intellectual Property or Equity Interests of Subsidiaries), grant or enter into any Exclusive License, forgive, release or compromise any amount owed to such Obligor or such Subsidiary, in each case, in one transaction or series of transactions (any thereof, an “</w:t>
      </w:r>
      <w:r>
        <w:rPr>
          <w:rFonts w:ascii="Times New Roman" w:hAnsi="Times New Roman"/>
          <w:b/>
          <w:i/>
          <w:sz w:val="20"/>
        </w:rPr>
        <w:t>Asset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sales of inventory in the ordinary course of its business on ordinary business terms; </w:t>
      </w:r>
    </w:p>
    <w:p>
      <w:pPr>
        <w:pStyle w:val="TextBody"/>
        <w:bidi w:val="0"/>
        <w:spacing w:before="120" w:after="0"/>
        <w:jc w:val="left"/>
        <w:rPr>
          <w:rFonts w:ascii="Times New Roman" w:hAnsi="Times New Roman"/>
          <w:sz w:val="20"/>
        </w:rPr>
      </w:pPr>
      <w:r>
        <w:rPr>
          <w:rFonts w:ascii="Times New Roman" w:hAnsi="Times New Roman"/>
          <w:sz w:val="20"/>
        </w:rPr>
        <w:t xml:space="preserve">(b) the forgiveness, release or compromise of any amount owed to any Obligor or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transfers of assets or property by any Subsidiary to an Obligor; </w:t>
      </w:r>
    </w:p>
    <w:p>
      <w:pPr>
        <w:pStyle w:val="TextBody"/>
        <w:bidi w:val="0"/>
        <w:spacing w:before="120" w:after="0"/>
        <w:jc w:val="left"/>
        <w:rPr>
          <w:rFonts w:ascii="Times New Roman" w:hAnsi="Times New Roman"/>
          <w:sz w:val="20"/>
        </w:rPr>
      </w:pPr>
      <w:r>
        <w:rPr>
          <w:rFonts w:ascii="Times New Roman" w:hAnsi="Times New Roman"/>
          <w:sz w:val="20"/>
        </w:rPr>
        <w:t xml:space="preserve">(d) transfers of assets or property by an Excluded Subsidiary to any other Excluded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dispositions of any assets or property that is obsolete or worn out or no longer used or useful in the business, disposed of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 connection with any transaction permitted under </w:t>
      </w:r>
      <w:r>
        <w:rPr>
          <w:rFonts w:ascii="Times New Roman" w:hAnsi="Times New Roman"/>
          <w:b/>
          <w:sz w:val="20"/>
        </w:rPr>
        <w:t>Sections 9.02</w:t>
      </w:r>
      <w:r>
        <w:rPr>
          <w:rFonts w:ascii="Times New Roman" w:hAnsi="Times New Roman"/>
          <w:sz w:val="20"/>
        </w:rPr>
        <w:t xml:space="preserve">,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 xml:space="preserve">9.05 </w:t>
      </w:r>
      <w:r>
        <w:rPr>
          <w:rFonts w:ascii="Times New Roman" w:hAnsi="Times New Roman"/>
          <w:sz w:val="20"/>
        </w:rPr>
        <w:t xml:space="preserve">or </w:t>
      </w:r>
      <w:r>
        <w:rPr>
          <w:rFonts w:ascii="Times New Roman" w:hAnsi="Times New Roman"/>
          <w:b/>
          <w:sz w:val="20"/>
        </w:rPr>
        <w:t xml:space="preserve">9.06 </w:t>
      </w:r>
      <w:r>
        <w:rPr>
          <w:rFonts w:ascii="Times New Roman" w:hAnsi="Times New Roman"/>
          <w:sz w:val="20"/>
        </w:rPr>
        <w:t xml:space="preserve">or </w:t>
      </w:r>
      <w:r>
        <w:rPr>
          <w:rFonts w:ascii="Times New Roman" w:hAnsi="Times New Roman"/>
          <w:b/>
          <w:sz w:val="20"/>
        </w:rPr>
        <w:t>9.10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sale, assignment, transfer, disposition or discount, in each case, without recourse, of accounts receivable arising in the ordinary course of business that have been written down by the Issuer acting in good faith and consistent with its historical collection practices or the sale, forgiveness or discounting, on a non-recourse basis of past due accounts in connection with the bankruptcy or reorganization of suppliers or customers consistent with customary industry practice; </w:t>
      </w:r>
    </w:p>
    <w:p>
      <w:pPr>
        <w:pStyle w:val="TextBody"/>
        <w:bidi w:val="0"/>
        <w:spacing w:before="120" w:after="0"/>
        <w:jc w:val="left"/>
        <w:rPr>
          <w:rFonts w:ascii="Times New Roman" w:hAnsi="Times New Roman"/>
          <w:sz w:val="20"/>
        </w:rPr>
      </w:pPr>
      <w:r>
        <w:rPr>
          <w:rFonts w:ascii="Times New Roman" w:hAnsi="Times New Roman"/>
          <w:sz w:val="20"/>
        </w:rPr>
        <w:t xml:space="preserve">(h) any dispositions as a result of any involuntary loss, damage or destruction of property as a result of a Casualty Event or transfers of property to insurance companies in exchange for casualty insurance proceeds; </w:t>
      </w:r>
    </w:p>
    <w:p>
      <w:pPr>
        <w:pStyle w:val="TextBody"/>
        <w:bidi w:val="0"/>
        <w:spacing w:before="120" w:after="0"/>
        <w:jc w:val="left"/>
        <w:rPr>
          <w:rFonts w:ascii="Times New Roman" w:hAnsi="Times New Roman"/>
          <w:sz w:val="20"/>
        </w:rPr>
      </w:pPr>
      <w:r>
        <w:rPr>
          <w:rFonts w:ascii="Times New Roman" w:hAnsi="Times New Roman"/>
          <w:sz w:val="20"/>
        </w:rPr>
        <w:t xml:space="preserve">(i) the sale or issuance of Qualified Equity Interests of the Issuer and the issuance by any of the Issuer’s Subsidiaries of Qualified Equity Interests to the Issuer or any Obligor; </w:t>
      </w:r>
    </w:p>
    <w:p>
      <w:pPr>
        <w:pStyle w:val="TextBody"/>
        <w:bidi w:val="0"/>
        <w:spacing w:before="120" w:after="0"/>
        <w:jc w:val="left"/>
        <w:rPr>
          <w:rFonts w:ascii="Times New Roman" w:hAnsi="Times New Roman"/>
          <w:sz w:val="20"/>
        </w:rPr>
      </w:pPr>
      <w:r>
        <w:rPr>
          <w:rFonts w:ascii="Times New Roman" w:hAnsi="Times New Roman"/>
          <w:sz w:val="20"/>
        </w:rPr>
        <w:t xml:space="preserve">(j) the abandonment of issued Patents, issued Trademarks and issued Copyrights of the Issuer and its Subsidiaries to the extent such issued Patents, issued Trademarks and issued Copyrights do not qualify as Material Intellectual Property and are not in the good faith judgment of the Issuer useful to, or required in, the conduct of the business of the Obligors or any of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(k) the abandonment or other disposition of a lease or sublease of real property that is, in the commercially reasonable judgment of the Issuer, not used or useful in the conduct of the business of the Obligors or any of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licenses, development and other collaborative agreements where such arrangement provide for the license of Patents, Trademarks, Copyrights and other Intellectual Property rights to the extent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9.19 </w:t>
      </w:r>
      <w:r>
        <w:rPr>
          <w:rFonts w:ascii="Times New Roman" w:hAnsi="Times New Roman"/>
          <w:sz w:val="20"/>
        </w:rPr>
        <w:t xml:space="preserve">hereof; </w:t>
      </w:r>
    </w:p>
    <w:p>
      <w:pPr>
        <w:pStyle w:val="TextBody"/>
        <w:bidi w:val="0"/>
        <w:spacing w:before="120" w:after="0"/>
        <w:jc w:val="left"/>
        <w:rPr>
          <w:rFonts w:ascii="Times New Roman" w:hAnsi="Times New Roman"/>
          <w:sz w:val="20"/>
        </w:rPr>
      </w:pPr>
      <w:r>
        <w:rPr>
          <w:rFonts w:ascii="Times New Roman" w:hAnsi="Times New Roman"/>
          <w:sz w:val="20"/>
        </w:rPr>
        <w:t xml:space="preserve">(m) dispositions of property to the extent that such property is exchanged for credit against the purchase price of similar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(n) Permitted Licenses; </w:t>
      </w:r>
    </w:p>
    <w:p>
      <w:pPr>
        <w:pStyle w:val="TextBody"/>
        <w:bidi w:val="0"/>
        <w:spacing w:before="120" w:after="0"/>
        <w:jc w:val="left"/>
        <w:rPr>
          <w:rFonts w:ascii="Times New Roman" w:hAnsi="Times New Roman"/>
          <w:sz w:val="20"/>
        </w:rPr>
      </w:pPr>
      <w:r>
        <w:rPr>
          <w:rFonts w:ascii="Times New Roman" w:hAnsi="Times New Roman"/>
          <w:sz w:val="20"/>
        </w:rPr>
        <w:t xml:space="preserve">(o) the transactions contemplated by the Blackstone Collaboration Agreement, the UCLB License Agreement and/or the BioNTech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(p) the early termination or modification of any contract resulting in the receipt of a cash payment or other consideration in exchange for such event (including payments in the ordinary course for accrued and unpaid amounts due through the date of termination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(q) transfers or the use of cash and Permitted Cash Equivalent Investments in a manner not prohibited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(r) dispositions of assets (other than accounts receivable or Intellectual Property) not otherwise permitted pursuant to </w:t>
      </w:r>
      <w:r>
        <w:rPr>
          <w:rFonts w:ascii="Times New Roman" w:hAnsi="Times New Roman"/>
          <w:b/>
          <w:sz w:val="20"/>
        </w:rPr>
        <w:t>clauses (a)</w:t>
      </w:r>
      <w:r>
        <w:rPr>
          <w:rFonts w:ascii="Times New Roman" w:hAnsi="Times New Roman"/>
          <w:sz w:val="20"/>
        </w:rPr>
        <w:t xml:space="preserve"> through </w:t>
      </w:r>
      <w:r>
        <w:rPr>
          <w:rFonts w:ascii="Times New Roman" w:hAnsi="Times New Roman"/>
          <w:b/>
          <w:sz w:val="20"/>
        </w:rPr>
        <w:t>(q)</w:t>
      </w:r>
      <w:r>
        <w:rPr>
          <w:rFonts w:ascii="Times New Roman" w:hAnsi="Times New Roman"/>
          <w:sz w:val="20"/>
        </w:rPr>
        <w:t xml:space="preserve"> above; </w:t>
      </w:r>
      <w:r>
        <w:rPr>
          <w:rFonts w:ascii="Times New Roman" w:hAnsi="Times New Roman"/>
          <w:sz w:val="20"/>
          <w:u w:val="single"/>
        </w:rPr>
        <w:t>provided</w:t>
      </w:r>
      <w:r>
        <w:rPr>
          <w:rFonts w:ascii="Times New Roman" w:hAnsi="Times New Roman"/>
          <w:sz w:val="20"/>
        </w:rPr>
        <w:t xml:space="preserve"> that such dispositions are made at fair market value for cash and the aggregate fair market value of all assets disposed of in all such dispositions (including the proposed disposition) does not exceed $2,500,000 in the aggregate since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9.10</w:t>
      </w:r>
      <w:r>
        <w:rPr>
          <w:rFonts w:ascii="Times New Roman" w:hAnsi="Times New Roman"/>
          <w:sz w:val="20"/>
        </w:rPr>
        <w:t xml:space="preserve"> </w:t>
      </w:r>
      <w:r>
        <w:rPr>
          <w:rFonts w:ascii="Times New Roman" w:hAnsi="Times New Roman"/>
          <w:b/>
          <w:sz w:val="20"/>
        </w:rPr>
        <w:t>Transactions with Affiliates</w:t>
      </w:r>
      <w:r>
        <w:rPr>
          <w:rFonts w:ascii="Times New Roman" w:hAnsi="Times New Roman"/>
          <w:sz w:val="20"/>
        </w:rPr>
        <w:t xml:space="preserve">. Each Obligor shall not, and shall not permit any of its Subsidiaries to, sell, lease, license or otherwise transfer any assets to, or purchase, lease, license or otherwise acquire any assets from, or otherwise engage in any other transactions or arrangements with, any of its Affiliates, except: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between or among Obligors and their Subsidiaries to the extent permitted hereunder (including, for the avoidance of doubt, any such transactions permitted by </w:t>
      </w:r>
      <w:r>
        <w:rPr>
          <w:rFonts w:ascii="Times New Roman" w:hAnsi="Times New Roman"/>
          <w:b/>
          <w:sz w:val="20"/>
        </w:rPr>
        <w:t>Section</w:t>
      </w:r>
      <w:r>
        <w:rPr>
          <w:rFonts w:ascii="Times New Roman" w:hAnsi="Times New Roman"/>
          <w:sz w:val="20"/>
        </w:rPr>
        <w:t> </w:t>
      </w:r>
      <w:r>
        <w:rPr>
          <w:rFonts w:ascii="Times New Roman" w:hAnsi="Times New Roman"/>
          <w:b/>
          <w:sz w:val="20"/>
        </w:rPr>
        <w:t>9.03, Section</w:t>
      </w:r>
      <w:r>
        <w:rPr>
          <w:rFonts w:ascii="Times New Roman" w:hAnsi="Times New Roman"/>
          <w:sz w:val="20"/>
        </w:rPr>
        <w:t> </w:t>
      </w:r>
      <w:r>
        <w:rPr>
          <w:rFonts w:ascii="Times New Roman" w:hAnsi="Times New Roman"/>
          <w:b/>
          <w:sz w:val="20"/>
        </w:rPr>
        <w:t>9.05, Section</w:t>
      </w:r>
      <w:r>
        <w:rPr>
          <w:rFonts w:ascii="Times New Roman" w:hAnsi="Times New Roman"/>
          <w:sz w:val="20"/>
        </w:rPr>
        <w:t> </w:t>
      </w:r>
      <w:r>
        <w:rPr>
          <w:rFonts w:ascii="Times New Roman" w:hAnsi="Times New Roman"/>
          <w:b/>
          <w:sz w:val="20"/>
        </w:rPr>
        <w:t xml:space="preserve">9.06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9.09</w:t>
      </w:r>
      <w:r>
        <w:rPr>
          <w:rFonts w:ascii="Times New Roman" w:hAnsi="Times New Roman"/>
          <w:sz w:val="20"/>
        </w:rPr>
        <w:t xml:space="preserve"> (other than </w:t>
      </w:r>
      <w:r>
        <w:rPr>
          <w:rFonts w:ascii="Times New Roman" w:hAnsi="Times New Roman"/>
          <w:b/>
          <w:sz w:val="20"/>
        </w:rPr>
        <w:t>Section</w:t>
      </w:r>
      <w:r>
        <w:rPr>
          <w:rFonts w:ascii="Times New Roman" w:hAnsi="Times New Roman"/>
          <w:sz w:val="20"/>
        </w:rPr>
        <w:t> </w:t>
      </w:r>
      <w:r>
        <w:rPr>
          <w:rFonts w:ascii="Times New Roman" w:hAnsi="Times New Roman"/>
          <w:b/>
          <w:sz w:val="20"/>
        </w:rPr>
        <w:t>9.09(f)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 customary compensation and indemnification of, and other employment arrangements with, directors, officers and employees of the Issuer or any of its Subsidiaries in the ordinary course of business and (ii) reasonable and customary expense reimbursements paid to members of the Board of the Issuer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(c) payments by the Obligors and their Subsidiaries pursuant to Tax sharing arrangements, transfer pricing arrangements or cost plus arrangements, in each case, solely as between or among the Obligors and one or more of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issuance of Qualified Equity Interests not resulting in a Change of Control and otherwise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(e) [reserved]; and </w:t>
      </w:r>
    </w:p>
    <w:p>
      <w:pPr>
        <w:pStyle w:val="TextBody"/>
        <w:bidi w:val="0"/>
        <w:spacing w:before="120" w:after="0"/>
        <w:jc w:val="left"/>
        <w:rPr>
          <w:rFonts w:ascii="Times New Roman" w:hAnsi="Times New Roman"/>
          <w:sz w:val="20"/>
        </w:rPr>
      </w:pPr>
      <w:r>
        <w:rPr>
          <w:rFonts w:ascii="Times New Roman" w:hAnsi="Times New Roman"/>
          <w:sz w:val="20"/>
        </w:rPr>
        <w:t xml:space="preserve">(f) any other transaction of any Obligor or any of its Subsidiaries that is (i) on fair and reasonable terms no less favorable (including with respect to the amount of cash or other consideration receivable or payable in connection therewith) to such Obligor or such Subsidiary, as applicable, than could be obtained in an arm’s-length transaction with a Person that is not an Affiliate of such Obligor or such Subsidiary and (ii) of the kind a prudent Person in the position of such Obligor or such Subsidiary, as applicable, would enter into with another Person that is not an Affiliate of such Obligor or such Subsidiary, as applicable. </w:t>
      </w:r>
    </w:p>
    <w:p>
      <w:pPr>
        <w:pStyle w:val="TextBody"/>
        <w:bidi w:val="0"/>
        <w:spacing w:before="120" w:after="0"/>
        <w:jc w:val="left"/>
        <w:rPr>
          <w:rFonts w:ascii="Times New Roman" w:hAnsi="Times New Roman"/>
          <w:sz w:val="20"/>
        </w:rPr>
      </w:pPr>
      <w:r>
        <w:rPr>
          <w:rFonts w:ascii="Times New Roman" w:hAnsi="Times New Roman"/>
          <w:b/>
          <w:sz w:val="20"/>
        </w:rPr>
        <w:t>9.11</w:t>
      </w:r>
      <w:r>
        <w:rPr>
          <w:rFonts w:ascii="Times New Roman" w:hAnsi="Times New Roman"/>
          <w:sz w:val="20"/>
        </w:rPr>
        <w:t xml:space="preserve"> </w:t>
      </w:r>
      <w:r>
        <w:rPr>
          <w:rFonts w:ascii="Times New Roman" w:hAnsi="Times New Roman"/>
          <w:b/>
          <w:sz w:val="20"/>
        </w:rPr>
        <w:t>Restrictive Agreements</w:t>
      </w:r>
      <w:r>
        <w:rPr>
          <w:rFonts w:ascii="Times New Roman" w:hAnsi="Times New Roman"/>
          <w:sz w:val="20"/>
        </w:rPr>
        <w:t xml:space="preserve">. Each Obligor shall not, and shall not permit any of its Subsidiaries to, directly or indirectly, enter into, incur or permit to exist any Restrictive Agreement other than (i) restrictions and conditions imposed by applicable Laws or by the Notes Documents, (ii) customary restrictions and conditions contained in agreements relating to an Asset Sale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restrictions and conditions apply only to the Subsidiary or property or asset that is to be sold and were not created or imposed in contemplation of this Agreement, (iii) restrictions and conditions imposed by any agreement relating to Permitted Indebtedness that is secured by a Permitted Lien so long as such restrictions or conditions apply only to the property or assets securing such Permitted Indebtedness and were not created or imposed in contemplation of this Agreement, (iv) any agreement or restriction or condition in effect at the time any Person becomes a Subsidiary pursuant to a Permitted Acquisition, so long as such agreement or restriction or condition was not entered into in contemplation of such Person becoming a Subsidiary and does not extend to any assets, properties or businesses other than those acquired pursuant to such Permitted Acquisition, (v) customary provisions in leases and subleases entered into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9.13</w:t>
      </w:r>
      <w:r>
        <w:rPr>
          <w:rFonts w:ascii="Times New Roman" w:hAnsi="Times New Roman"/>
          <w:sz w:val="20"/>
        </w:rPr>
        <w:t xml:space="preserve">, Permitted Licenses or licenses entered into in compliance with </w:t>
      </w:r>
      <w:r>
        <w:rPr>
          <w:rFonts w:ascii="Times New Roman" w:hAnsi="Times New Roman"/>
          <w:b/>
          <w:sz w:val="20"/>
        </w:rPr>
        <w:t>Section</w:t>
      </w:r>
      <w:r>
        <w:rPr>
          <w:rFonts w:ascii="Times New Roman" w:hAnsi="Times New Roman"/>
          <w:sz w:val="20"/>
        </w:rPr>
        <w:t> </w:t>
      </w:r>
      <w:r>
        <w:rPr>
          <w:rFonts w:ascii="Times New Roman" w:hAnsi="Times New Roman"/>
          <w:b/>
          <w:sz w:val="20"/>
        </w:rPr>
        <w:t>9.19</w:t>
      </w:r>
      <w:r>
        <w:rPr>
          <w:rFonts w:ascii="Times New Roman" w:hAnsi="Times New Roman"/>
          <w:sz w:val="20"/>
        </w:rPr>
        <w:t xml:space="preserve">, in either case restricting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thereof or restricting the grant of Liens in such lease, sublease or license, as the case may be, (vi) restrictions on pledges or deposits made in the ordinary course of business in connection with leases or obligations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9.02(e)</w:t>
      </w:r>
      <w:r>
        <w:rPr>
          <w:rFonts w:ascii="Times New Roman" w:hAnsi="Times New Roman"/>
          <w:sz w:val="20"/>
        </w:rPr>
        <w:t xml:space="preserve">, and (vii) Restrictive Agreements set forth on </w:t>
      </w:r>
      <w:r>
        <w:rPr>
          <w:rFonts w:ascii="Times New Roman" w:hAnsi="Times New Roman"/>
          <w:b/>
          <w:sz w:val="20"/>
        </w:rPr>
        <w:t>Schedule 7.15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Restrictive Agreement otherwise permitted under this Section shall be permitted to the extent it restricts, prohibits or otherwise prevents (x) the execution, delivery and performance of the Obligations or any Secured Party’s rights or remedies in respect thereof, (y) the exercise of remedies by the Administrative Agent against the Issuer or any Subsidiary following an Event of Default as contemplated by the Notes Documents or (z) the performance of the obligations of any Obligor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8.12 </w:t>
      </w:r>
      <w:r>
        <w:rPr>
          <w:rFonts w:ascii="Times New Roman" w:hAnsi="Times New Roman"/>
          <w:sz w:val="20"/>
        </w:rPr>
        <w:t xml:space="preserve">hereof. </w:t>
      </w:r>
    </w:p>
    <w:p>
      <w:pPr>
        <w:pStyle w:val="TextBody"/>
        <w:bidi w:val="0"/>
        <w:spacing w:before="120" w:after="0"/>
        <w:jc w:val="left"/>
        <w:rPr>
          <w:rFonts w:ascii="Times New Roman" w:hAnsi="Times New Roman"/>
          <w:sz w:val="20"/>
        </w:rPr>
      </w:pPr>
      <w:r>
        <w:rPr>
          <w:rFonts w:ascii="Times New Roman" w:hAnsi="Times New Roman"/>
          <w:b/>
          <w:sz w:val="20"/>
        </w:rPr>
        <w:t>9.12</w:t>
      </w:r>
      <w:r>
        <w:rPr>
          <w:rFonts w:ascii="Times New Roman" w:hAnsi="Times New Roman"/>
          <w:sz w:val="20"/>
        </w:rPr>
        <w:t xml:space="preserve"> </w:t>
      </w:r>
      <w:r>
        <w:rPr>
          <w:rFonts w:ascii="Times New Roman" w:hAnsi="Times New Roman"/>
          <w:b/>
          <w:sz w:val="20"/>
        </w:rPr>
        <w:t>Modifications of Organic Documents; Termination of Material Agreements</w:t>
      </w:r>
      <w:r>
        <w:rPr>
          <w:rFonts w:ascii="Times New Roman" w:hAnsi="Times New Roman"/>
          <w:sz w:val="20"/>
        </w:rPr>
        <w:t xml:space="preserve">. Each Obligor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waive, amend, terminate, replace or otherwise modify any term or provision of any Organic Document, other than any such waivers, amendments, terminations, replacements or other modifications which are not, and would not reasonably be expected to be, adverse in any material respect on (i) any Obligations or any interests, rights or remedies of any Secured Party in respect of the Notes Documents or (ii) any rights or remedies of any Noteholder in respect of any Warrant Certificate (or, to the extent the Noteholder has exercised its rights under any Warrant Certificate, such Noteholder’s rights as a holder of the Issuer’s Equity Interests) except, for purposes of this </w:t>
      </w:r>
      <w:r>
        <w:rPr>
          <w:rFonts w:ascii="Times New Roman" w:hAnsi="Times New Roman"/>
          <w:b/>
          <w:sz w:val="20"/>
        </w:rPr>
        <w:t xml:space="preserve">clause (a)(ii) </w:t>
      </w:r>
      <w:r>
        <w:rPr>
          <w:rFonts w:ascii="Times New Roman" w:hAnsi="Times New Roman"/>
          <w:sz w:val="20"/>
        </w:rPr>
        <w:t xml:space="preserve">only, to the extent such modification would not adversely and disproportionately affect such Noteholder as compared with the effect on all other holders of the same series or class of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(i) except with respect to the Material Agreements set forth on </w:t>
      </w:r>
      <w:r>
        <w:rPr>
          <w:rFonts w:ascii="Times New Roman" w:hAnsi="Times New Roman"/>
          <w:b/>
          <w:sz w:val="20"/>
        </w:rPr>
        <w:t>Schedule 9.12(b)</w:t>
      </w:r>
      <w:r>
        <w:rPr>
          <w:rFonts w:ascii="Times New Roman" w:hAnsi="Times New Roman"/>
          <w:sz w:val="20"/>
        </w:rPr>
        <w:t xml:space="preserve">, take or omit to take any action that results in the termination of, or permits any other Person to terminate, any Material Agreement or; or take any action that permits any Material Agreement to be terminated by any counterparty thereto prior to its stated date of expiration, in each case, only to the extent such termination would reasonably be expected to have an adverse effect in any material respect on, and/or disproportionately affect, the Administrative Agent or the Noteholders or (ii) waive, amend, terminate, replace or otherwise modify any term or provision of any Material Agreement that would reasonably be expected to have an adverse effect in any material respect on the Administrative Agent, any Noteholder, the Obligations or any interests, rights or remedies of any Secured Party in respect of the Notes Documents; </w:t>
      </w:r>
    </w:p>
    <w:p>
      <w:pPr>
        <w:pStyle w:val="TextBody"/>
        <w:bidi w:val="0"/>
        <w:spacing w:before="120" w:after="0"/>
        <w:jc w:val="left"/>
        <w:rPr>
          <w:rFonts w:ascii="Times New Roman" w:hAnsi="Times New Roman"/>
          <w:sz w:val="20"/>
        </w:rPr>
      </w:pPr>
      <w:r>
        <w:rPr>
          <w:rFonts w:ascii="Times New Roman" w:hAnsi="Times New Roman"/>
          <w:sz w:val="20"/>
        </w:rPr>
        <w:t xml:space="preserve">(c) take or omit to take any action that results in, or permits any counterparty to cause, the termination of any rights in or to any Material Intellectual Property prior to its stated date of expiration, except as would not reasonably be expected to materially and adversely affect the Obligors and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waive, amend, terminate, replace or otherwise modify any term or provision of the Blackstone Collaboration Agreement (as in effect on the Closing Date or as expressly permitted to be amended or modified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9.12(d)</w:t>
      </w:r>
      <w:r>
        <w:rPr>
          <w:rFonts w:ascii="Times New Roman" w:hAnsi="Times New Roman"/>
          <w:sz w:val="20"/>
        </w:rPr>
        <w:t xml:space="preserve">) that would reasonably be expected to have an adverse effect in any material respect on the Administrative Agent, any Noteholder, the Obligations or any interests, rights or remedies of any Secured Party in respect of the Notes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b/>
          <w:sz w:val="20"/>
        </w:rPr>
        <w:t>Schedule 9.12(b)</w:t>
      </w:r>
      <w:r>
        <w:rPr>
          <w:rFonts w:ascii="Times New Roman" w:hAnsi="Times New Roman"/>
          <w:sz w:val="20"/>
        </w:rPr>
        <w:t xml:space="preserve">, waive, amend, terminate, replace or otherwise modify any term or provision of the BioNTech License Agreement (as in effect on the Closing Date, or as expressly permitted by this </w:t>
      </w:r>
      <w:r>
        <w:rPr>
          <w:rFonts w:ascii="Times New Roman" w:hAnsi="Times New Roman"/>
          <w:b/>
          <w:sz w:val="20"/>
        </w:rPr>
        <w:t>Section</w:t>
      </w:r>
      <w:r>
        <w:rPr>
          <w:rFonts w:ascii="Times New Roman" w:hAnsi="Times New Roman"/>
          <w:sz w:val="20"/>
        </w:rPr>
        <w:t> </w:t>
      </w:r>
      <w:r>
        <w:rPr>
          <w:rFonts w:ascii="Times New Roman" w:hAnsi="Times New Roman"/>
          <w:b/>
          <w:sz w:val="20"/>
        </w:rPr>
        <w:t>9.12(e)</w:t>
      </w:r>
      <w:r>
        <w:rPr>
          <w:rFonts w:ascii="Times New Roman" w:hAnsi="Times New Roman"/>
          <w:sz w:val="20"/>
        </w:rPr>
        <w:t xml:space="preserve">) that would reasonably be expected to have an adverse effect in any material respect on the Administrative Agent, any Noteholder, the Obligations or any interests, rights or remedies of any Secured Party in respect of the Notes Documents; or </w:t>
      </w:r>
    </w:p>
    <w:p>
      <w:pPr>
        <w:pStyle w:val="TextBody"/>
        <w:bidi w:val="0"/>
        <w:spacing w:before="120" w:after="0"/>
        <w:jc w:val="left"/>
        <w:rPr>
          <w:rFonts w:ascii="Times New Roman" w:hAnsi="Times New Roman"/>
          <w:sz w:val="20"/>
        </w:rPr>
      </w:pPr>
      <w:r>
        <w:rPr>
          <w:rFonts w:ascii="Times New Roman" w:hAnsi="Times New Roman"/>
          <w:sz w:val="20"/>
        </w:rPr>
        <w:t xml:space="preserve">(f) waive, amend, terminate, replace or otherwise modify any term or provision of the UCLB License Agreement (as in effect on the Closing Date or as expressly permitted by this </w:t>
      </w:r>
      <w:r>
        <w:rPr>
          <w:rFonts w:ascii="Times New Roman" w:hAnsi="Times New Roman"/>
          <w:b/>
          <w:sz w:val="20"/>
        </w:rPr>
        <w:t>Section</w:t>
      </w:r>
      <w:r>
        <w:rPr>
          <w:rFonts w:ascii="Times New Roman" w:hAnsi="Times New Roman"/>
          <w:sz w:val="20"/>
        </w:rPr>
        <w:t> </w:t>
      </w:r>
      <w:r>
        <w:rPr>
          <w:rFonts w:ascii="Times New Roman" w:hAnsi="Times New Roman"/>
          <w:b/>
          <w:sz w:val="20"/>
        </w:rPr>
        <w:t>9.12(f)</w:t>
      </w:r>
      <w:r>
        <w:rPr>
          <w:rFonts w:ascii="Times New Roman" w:hAnsi="Times New Roman"/>
          <w:sz w:val="20"/>
        </w:rPr>
        <w:t xml:space="preserve">) that would reasonably be expected to have an adverse effect in any material respect on the Administrative Agent, any Noteholder, the Obligations or any interests, rights or remedies of any Secured Party in respect of the Notes Documents. </w:t>
      </w:r>
    </w:p>
    <w:p>
      <w:pPr>
        <w:pStyle w:val="TextBody"/>
        <w:bidi w:val="0"/>
        <w:spacing w:before="120" w:after="0"/>
        <w:jc w:val="left"/>
        <w:rPr>
          <w:rFonts w:ascii="Times New Roman" w:hAnsi="Times New Roman"/>
          <w:sz w:val="20"/>
        </w:rPr>
      </w:pPr>
      <w:r>
        <w:rPr>
          <w:rFonts w:ascii="Times New Roman" w:hAnsi="Times New Roman"/>
          <w:b/>
          <w:sz w:val="20"/>
        </w:rPr>
        <w:t>9.13</w:t>
      </w:r>
      <w:r>
        <w:rPr>
          <w:rFonts w:ascii="Times New Roman" w:hAnsi="Times New Roman"/>
          <w:sz w:val="20"/>
        </w:rPr>
        <w:t xml:space="preserve"> </w:t>
      </w:r>
      <w:r>
        <w:rPr>
          <w:rFonts w:ascii="Times New Roman" w:hAnsi="Times New Roman"/>
          <w:b/>
          <w:sz w:val="20"/>
        </w:rPr>
        <w:t>Sales and Leasebacks</w:t>
      </w:r>
      <w:r>
        <w:rPr>
          <w:rFonts w:ascii="Times New Roman" w:hAnsi="Times New Roman"/>
          <w:sz w:val="20"/>
        </w:rPr>
        <w:t xml:space="preserve">. Except as disclosed on </w:t>
      </w:r>
      <w:r>
        <w:rPr>
          <w:rFonts w:ascii="Times New Roman" w:hAnsi="Times New Roman"/>
          <w:b/>
          <w:sz w:val="20"/>
        </w:rPr>
        <w:t>Schedule 9.13</w:t>
      </w:r>
      <w:r>
        <w:rPr>
          <w:rFonts w:ascii="Times New Roman" w:hAnsi="Times New Roman"/>
          <w:sz w:val="20"/>
        </w:rPr>
        <w:t xml:space="preserve">, each Obligor shall not, and shall not permit any of its Subsidiaries to, become liable, directly or indirectly, with respect to any lease, whether an operating lease or a Capital Lease Obligation, of any property (whether real, personal, or mixed), whether now owned or hereafter acquired, (a) which such Person has sold or transferred or is to sell or transfer to any other Person and (b) which such Person intends to use for substantially the same purposes as property which has been or is to be sold or transferred. </w:t>
      </w:r>
    </w:p>
    <w:p>
      <w:pPr>
        <w:pStyle w:val="TextBody"/>
        <w:bidi w:val="0"/>
        <w:spacing w:before="120" w:after="0"/>
        <w:jc w:val="left"/>
        <w:rPr>
          <w:rFonts w:ascii="Times New Roman" w:hAnsi="Times New Roman"/>
          <w:sz w:val="20"/>
        </w:rPr>
      </w:pPr>
      <w:r>
        <w:rPr>
          <w:rFonts w:ascii="Times New Roman" w:hAnsi="Times New Roman"/>
          <w:b/>
          <w:sz w:val="20"/>
        </w:rPr>
        <w:t>9.14</w:t>
      </w:r>
      <w:r>
        <w:rPr>
          <w:rFonts w:ascii="Times New Roman" w:hAnsi="Times New Roman"/>
          <w:sz w:val="20"/>
        </w:rPr>
        <w:t xml:space="preserve"> </w:t>
      </w:r>
      <w:r>
        <w:rPr>
          <w:rFonts w:ascii="Times New Roman" w:hAnsi="Times New Roman"/>
          <w:b/>
          <w:sz w:val="20"/>
        </w:rPr>
        <w:t>Hazardous Material</w:t>
      </w:r>
      <w:r>
        <w:rPr>
          <w:rFonts w:ascii="Times New Roman" w:hAnsi="Times New Roman"/>
          <w:sz w:val="20"/>
        </w:rPr>
        <w:t xml:space="preserve">. Each Obligor shall not, and shall not permit any of its Subsidiaries to, use, generate, manufacture, install, treat, release, store or dispose of any Hazardous Material, except in compliance with all applicable Environmental Laws or where the failure to comply, individually or in the aggregate,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b/>
          <w:sz w:val="20"/>
        </w:rPr>
        <w:t>9.15</w:t>
      </w:r>
      <w:r>
        <w:rPr>
          <w:rFonts w:ascii="Times New Roman" w:hAnsi="Times New Roman"/>
          <w:sz w:val="20"/>
        </w:rPr>
        <w:t xml:space="preserve"> </w:t>
      </w:r>
      <w:r>
        <w:rPr>
          <w:rFonts w:ascii="Times New Roman" w:hAnsi="Times New Roman"/>
          <w:b/>
          <w:sz w:val="20"/>
        </w:rPr>
        <w:t>Accounting Changes</w:t>
      </w:r>
      <w:r>
        <w:rPr>
          <w:rFonts w:ascii="Times New Roman" w:hAnsi="Times New Roman"/>
          <w:sz w:val="20"/>
        </w:rPr>
        <w:t xml:space="preserve">. Each Obligor shall not, and shall not permit any of its Subsidiaries to, make any significant change in accounting treatment or reporting practices, except as required or permitted by GAAP. </w:t>
      </w:r>
    </w:p>
    <w:p>
      <w:pPr>
        <w:pStyle w:val="TextBody"/>
        <w:bidi w:val="0"/>
        <w:spacing w:before="120" w:after="0"/>
        <w:jc w:val="left"/>
        <w:rPr>
          <w:rFonts w:ascii="Times New Roman" w:hAnsi="Times New Roman"/>
          <w:sz w:val="20"/>
        </w:rPr>
      </w:pPr>
      <w:r>
        <w:rPr>
          <w:rFonts w:ascii="Times New Roman" w:hAnsi="Times New Roman"/>
          <w:b/>
          <w:sz w:val="20"/>
        </w:rPr>
        <w:t>9.16</w:t>
      </w:r>
      <w:r>
        <w:rPr>
          <w:rFonts w:ascii="Times New Roman" w:hAnsi="Times New Roman"/>
          <w:sz w:val="20"/>
        </w:rPr>
        <w:t xml:space="preserve"> </w:t>
      </w:r>
      <w:r>
        <w:rPr>
          <w:rFonts w:ascii="Times New Roman" w:hAnsi="Times New Roman"/>
          <w:b/>
          <w:sz w:val="20"/>
        </w:rPr>
        <w:t>Compliance with ERISA</w:t>
      </w:r>
      <w:r>
        <w:rPr>
          <w:rFonts w:ascii="Times New Roman" w:hAnsi="Times New Roman"/>
          <w:sz w:val="20"/>
        </w:rPr>
        <w:t xml:space="preserve">. Neither the Issuer nor any of its ERISA Affiliates shall cause or suffer to exist (a) any event that would result in the imposition of a Lien with respect to any Title IV Plan or Multiemployer Plan or (b) any other ERISA Event that, individually or in the aggregate, would reasonably be expected to result in a Material Adverse Effect. Neither the Issuer nor any of its Subsidiaries shall cause or suffer to exist any event that would result in the imposition of a Lien with respect to any Benefit Plan that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b/>
          <w:sz w:val="20"/>
        </w:rPr>
        <w:t>9.17</w:t>
      </w:r>
      <w:r>
        <w:rPr>
          <w:rFonts w:ascii="Times New Roman" w:hAnsi="Times New Roman"/>
          <w:sz w:val="20"/>
        </w:rPr>
        <w:t xml:space="preserve"> </w:t>
      </w:r>
      <w:r>
        <w:rPr>
          <w:rFonts w:ascii="Times New Roman" w:hAnsi="Times New Roman"/>
          <w:b/>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9.18</w:t>
      </w:r>
      <w:r>
        <w:rPr>
          <w:rFonts w:ascii="Times New Roman" w:hAnsi="Times New Roman"/>
          <w:sz w:val="20"/>
        </w:rPr>
        <w:t xml:space="preserve"> </w:t>
      </w:r>
      <w:r>
        <w:rPr>
          <w:rFonts w:ascii="Times New Roman" w:hAnsi="Times New Roman"/>
          <w:b/>
          <w:sz w:val="20"/>
        </w:rPr>
        <w:t>Sanctions; Anti-Corruption 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Obligor nor any of its Subsidiaries or their respective agents shall (i) conduct any business or engage in any transaction or dealing with any Sanctioned Person in violation of Sanctions, including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Issuer shall not, directly or knowingly indirectly, use the proceeds of the Notes,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to fund any activities or business of or with any Person, that, at the time of such funding, is the subject of Sanctions or in any Designated Jurisdiction, or (B) in any other manner that would result in a violation of Sanctions by any Person (including any Person participating in the Notes, whether as Administrative Agent, Noteholder, underwriter, advisor, investor, or otherwise). </w:t>
      </w:r>
    </w:p>
    <w:p>
      <w:pPr>
        <w:pStyle w:val="TextBody"/>
        <w:bidi w:val="0"/>
        <w:spacing w:before="120" w:after="0"/>
        <w:jc w:val="left"/>
        <w:rPr>
          <w:rFonts w:ascii="Times New Roman" w:hAnsi="Times New Roman"/>
          <w:sz w:val="20"/>
        </w:rPr>
      </w:pPr>
      <w:r>
        <w:rPr>
          <w:rFonts w:ascii="Times New Roman" w:hAnsi="Times New Roman"/>
          <w:sz w:val="20"/>
        </w:rPr>
        <w:t>(c) The undertakings under paragraphs (a) and (b) above shall only apply to the German Guarantors if and to the extent that agreeing to or complying with such undertaking does not result in a violation of or conflict with the Council Regulation (EC) No 2271/96 of 22 November 1996 (as amended from time to time) protecting against the effects of the extra-territorial application of legislation adopted by a third country, and actions based thereon or resulting therefrom, section 7 of the German Foreign Trade Regulation (</w:t>
      </w:r>
      <w:r>
        <w:rPr>
          <w:rFonts w:ascii="Times New Roman" w:hAnsi="Times New Roman"/>
          <w:i/>
          <w:sz w:val="20"/>
        </w:rPr>
        <w:t>Außenwirtschaftsverordnung - AWV</w:t>
      </w:r>
      <w:r>
        <w:rPr>
          <w:rFonts w:ascii="Times New Roman" w:hAnsi="Times New Roman"/>
          <w:sz w:val="20"/>
        </w:rPr>
        <w:t xml:space="preserve">) and/or any other applicable anti boycott laws or regulations. </w:t>
      </w:r>
    </w:p>
    <w:p>
      <w:pPr>
        <w:pStyle w:val="TextBody"/>
        <w:bidi w:val="0"/>
        <w:spacing w:before="120" w:after="0"/>
        <w:jc w:val="left"/>
        <w:rPr>
          <w:rFonts w:ascii="Times New Roman" w:hAnsi="Times New Roman"/>
          <w:sz w:val="20"/>
        </w:rPr>
      </w:pPr>
      <w:r>
        <w:rPr>
          <w:rFonts w:ascii="Times New Roman" w:hAnsi="Times New Roman"/>
          <w:sz w:val="20"/>
        </w:rPr>
        <w:t>(d) The undertakings under paragraphs (a) and (b) above shall only apply for the benefit of an Obligor if and to the extent that by agreeing to or accepting any rights under or enjoying the benefit of (including by exercising any rights on the grounds of a breach of or with respect to any request under) the provision does not result in a violation of or conflict with the Council Regulation (EC) No 2271/96 of 22 November 1996 (as amended from time to time) protecting against the effects of the extra territorial application of legislation adopted by a third country, and actions based thereon or resulting therefrom, section 7 of the German Foreign Trade Regulation (</w:t>
      </w:r>
      <w:r>
        <w:rPr>
          <w:rFonts w:ascii="Times New Roman" w:hAnsi="Times New Roman"/>
          <w:i/>
          <w:sz w:val="20"/>
        </w:rPr>
        <w:t>Außenwirtschaftsverordnung - AWV</w:t>
      </w:r>
      <w:r>
        <w:rPr>
          <w:rFonts w:ascii="Times New Roman" w:hAnsi="Times New Roman"/>
          <w:sz w:val="20"/>
        </w:rPr>
        <w:t xml:space="preserve">) and/or any other applicable anti-boycott laws or regulations. </w:t>
      </w:r>
    </w:p>
    <w:p>
      <w:pPr>
        <w:pStyle w:val="TextBody"/>
        <w:bidi w:val="0"/>
        <w:spacing w:before="120" w:after="0"/>
        <w:jc w:val="left"/>
        <w:rPr>
          <w:rFonts w:ascii="Times New Roman" w:hAnsi="Times New Roman"/>
          <w:sz w:val="20"/>
        </w:rPr>
      </w:pPr>
      <w:r>
        <w:rPr>
          <w:rFonts w:ascii="Times New Roman" w:hAnsi="Times New Roman"/>
          <w:b/>
          <w:sz w:val="20"/>
        </w:rPr>
        <w:t>9.19</w:t>
      </w:r>
      <w:r>
        <w:rPr>
          <w:rFonts w:ascii="Times New Roman" w:hAnsi="Times New Roman"/>
          <w:sz w:val="20"/>
        </w:rPr>
        <w:t xml:space="preserve"> </w:t>
      </w:r>
      <w:r>
        <w:rPr>
          <w:rFonts w:ascii="Times New Roman" w:hAnsi="Times New Roman"/>
          <w:b/>
          <w:sz w:val="20"/>
        </w:rPr>
        <w:t>Inbound and Outbound Licenses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Inbound Licenses.</w:t>
      </w:r>
      <w:r>
        <w:rPr>
          <w:rFonts w:ascii="Times New Roman" w:hAnsi="Times New Roman"/>
          <w:sz w:val="20"/>
        </w:rPr>
        <w:t xml:space="preserve"> Except for the UCLB License Agreement, each Obligor shall not, and shall not permit any of its Subsidiaries to, enter into or become bound by (i) any inbound license agreement that, individually or in the aggregate, would reasonably be expected to result in a Material Adverse Effect, or (ii) any license agreement, that requires any Obligor or any of its Subsidiaries, as the case may be, during any twelve (12) month period during the term of such license agreement, to make aggregate payments in excess of $5,000,000 unless (x) the licensor under such license is a non-Affiliated third party and (y) such license has been entered into by an Obligor or one of its Subsidiaries as the case may be, in the ordinary course of business and the commercial terms otherwise comply with </w:t>
      </w: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inbound license agreements in the nature of ordinary course customer contracts, application programming interfaces (APIs), or over-the-counter software that is commercially available to the public shall not be prohibited by this </w:t>
      </w:r>
      <w:r>
        <w:rPr>
          <w:rFonts w:ascii="Times New Roman" w:hAnsi="Times New Roman"/>
          <w:b/>
          <w:sz w:val="20"/>
        </w:rPr>
        <w:t>clause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Outbound Licenses.</w:t>
      </w:r>
      <w:r>
        <w:rPr>
          <w:rFonts w:ascii="Times New Roman" w:hAnsi="Times New Roman"/>
          <w:sz w:val="20"/>
        </w:rPr>
        <w:t xml:space="preserve"> Except for the Blackstone Collaboration Agreement, the BioNTech License Agreement and any other Permitted License, each Obligor shall not, and shall not permit any of its Subsidiaries to, enter into or become bound by any outbound license of Material Intellectual Property that, individually or in the aggregate, would reasonably be expected to result in a Material Adverse Effect unless such outbound license (i) does not impair the ability of the Administrative Agent or any Secured Party to fully exercise their respective rights in respect of the Collateral under any of the Notes Documents in the event of the exercise of remedies, including a disposition or liquidation in connection with a foreclosure of any such Collateral, or any rights, assets or property related thereto, and (ii) is not an Exclusive License. </w:t>
      </w:r>
    </w:p>
    <w:p>
      <w:pPr>
        <w:pStyle w:val="TextBody"/>
        <w:bidi w:val="0"/>
        <w:spacing w:before="120" w:after="0"/>
        <w:jc w:val="left"/>
        <w:rPr>
          <w:rFonts w:ascii="Times New Roman" w:hAnsi="Times New Roman"/>
          <w:sz w:val="20"/>
        </w:rPr>
      </w:pPr>
      <w:r>
        <w:rPr>
          <w:rFonts w:ascii="Times New Roman" w:hAnsi="Times New Roman"/>
          <w:b/>
          <w:sz w:val="20"/>
        </w:rPr>
        <w:t>9.20</w:t>
      </w:r>
      <w:r>
        <w:rPr>
          <w:rFonts w:ascii="Times New Roman" w:hAnsi="Times New Roman"/>
          <w:sz w:val="20"/>
        </w:rPr>
        <w:t xml:space="preserve"> </w:t>
      </w:r>
      <w:r>
        <w:rPr>
          <w:rFonts w:ascii="Times New Roman" w:hAnsi="Times New Roman"/>
          <w:b/>
          <w:sz w:val="20"/>
        </w:rPr>
        <w:t>Title, Headleases, Development</w:t>
      </w:r>
      <w:r>
        <w:rPr>
          <w:rFonts w:ascii="Times New Roman" w:hAnsi="Times New Roman"/>
          <w:sz w:val="20"/>
        </w:rPr>
        <w:t xml:space="preserve">. Each Obligor shall not, and shall not permit any of its Subsidiaries to, without the prior written consent of the Administrative Agent (such consent not to be unreasonably withheld or delayed), (i) agree to any amendment, supplement, waiver, surrender or release of any material covenant, stipulation or obligation (restrictive or otherwise) at any time affecting a Material Real Property or Future Acquired Material Real Property, (ii) agree to any amendment, supplement, waiver, surrender or release of any Headlease which could reasonably be expected to be prejudicial to the interests of the Secured Parties, (iii) exercise any right to break, determine or extend any Headlease, (iv) agree to any rent review in respect of any Headlease, (v) do or allow to be done any act as a result of which any Headlease may become liable to forfeiture or otherwise be terminated, or (vi) make or allow to be made any application for planning permission in respect of any part of any Material Real Property or Future Acquired Material Real Property or carry out, or allow to be carried out, any demolition, construction, structural alterations or additions, development or other similar operations in respect of any part of any such Material Real Property or Future Acquired Material Real Property, other than (A) the maintenance of the buildings, plant, machinery, fixtures and fittings in accordance with the Notes Documents, (B) any alterations or improvements which a tenant is entitled to undertake in accordance with the terms of the relevant Headlease and in respect of which an Obligor in its capacity as landlord is required to give its consent pursuant to the terms of that Headlease , or (C) the carrying out of non-structural improvements or alterations which affect only the interior of any building on any Material Real Property or Future Acquired Material Real Property; </w:t>
      </w:r>
      <w:r>
        <w:rPr>
          <w:rFonts w:ascii="Times New Roman" w:hAnsi="Times New Roman"/>
          <w:sz w:val="20"/>
          <w:u w:val="single"/>
        </w:rPr>
        <w:t>provided</w:t>
      </w:r>
      <w:r>
        <w:rPr>
          <w:rFonts w:ascii="Times New Roman" w:hAnsi="Times New Roman"/>
          <w:sz w:val="20"/>
        </w:rPr>
        <w:t xml:space="preserve"> that, to the extent (A) through (C) do not apply, any such actions can be undertaken by the Issuer or its Subsidiaries with the consent of the Administrative Agent (not to be unreasonably withheld or delayed). </w:t>
      </w:r>
    </w:p>
    <w:p>
      <w:pPr>
        <w:pStyle w:val="TextBody"/>
        <w:bidi w:val="0"/>
        <w:spacing w:before="120" w:after="0"/>
        <w:jc w:val="left"/>
        <w:rPr>
          <w:rFonts w:ascii="Times New Roman" w:hAnsi="Times New Roman"/>
          <w:sz w:val="20"/>
        </w:rPr>
      </w:pPr>
      <w:r>
        <w:rPr>
          <w:rFonts w:ascii="Times New Roman" w:hAnsi="Times New Roman"/>
          <w:b/>
          <w:sz w:val="20"/>
        </w:rPr>
        <w:t>9.21</w:t>
      </w:r>
      <w:r>
        <w:rPr>
          <w:rFonts w:ascii="Times New Roman" w:hAnsi="Times New Roman"/>
          <w:sz w:val="20"/>
        </w:rPr>
        <w:t xml:space="preserve"> </w:t>
      </w:r>
      <w:r>
        <w:rPr>
          <w:rFonts w:ascii="Times New Roman" w:hAnsi="Times New Roman"/>
          <w:b/>
          <w:sz w:val="20"/>
        </w:rPr>
        <w:t>UK Pensions</w:t>
      </w:r>
      <w:r>
        <w:rPr>
          <w:rFonts w:ascii="Times New Roman" w:hAnsi="Times New Roman"/>
          <w:sz w:val="20"/>
        </w:rPr>
        <w:t xml:space="preserve">. Each Obligor will ensure that it is not and does not become, and will procure that none of its Affiliates, its Subsidiaries or any Affiliate of any such Subsidiary is or becomes: (i) party to any act or omission in relation to any UK DB Plan which has or is reasonably likely to have a Material Adverse Effect; (ii) an “employer” (for the purposes of sections 38 to 51 of the UK Pensions Act 2004) of a UK DB Plan; or (ii) “connected with” or an “associate of” (as those terms are used in sections 38 or 43 of the UK Pensions Act 2004) such an “employer”.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10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COVENANTS </w:t>
      </w:r>
    </w:p>
    <w:p>
      <w:pPr>
        <w:pStyle w:val="TextBody"/>
        <w:bidi w:val="0"/>
        <w:spacing w:before="240" w:after="0"/>
        <w:jc w:val="left"/>
        <w:rPr>
          <w:rFonts w:ascii="Times New Roman" w:hAnsi="Times New Roman"/>
          <w:sz w:val="20"/>
        </w:rPr>
      </w:pPr>
      <w:r>
        <w:rPr>
          <w:rFonts w:ascii="Times New Roman" w:hAnsi="Times New Roman"/>
          <w:b/>
          <w:sz w:val="20"/>
        </w:rPr>
        <w:t>10.01</w:t>
      </w:r>
      <w:r>
        <w:rPr>
          <w:rFonts w:ascii="Times New Roman" w:hAnsi="Times New Roman"/>
          <w:sz w:val="20"/>
        </w:rPr>
        <w:t xml:space="preserve"> </w:t>
      </w:r>
      <w:r>
        <w:rPr>
          <w:rFonts w:ascii="Times New Roman" w:hAnsi="Times New Roman"/>
          <w:b/>
          <w:sz w:val="20"/>
        </w:rPr>
        <w:t>Minimum Liquidity</w:t>
      </w:r>
      <w:r>
        <w:rPr>
          <w:rFonts w:ascii="Times New Roman" w:hAnsi="Times New Roman"/>
          <w:sz w:val="20"/>
        </w:rPr>
        <w:t xml:space="preserve">. Subject to </w:t>
      </w:r>
      <w:r>
        <w:rPr>
          <w:rFonts w:ascii="Times New Roman" w:hAnsi="Times New Roman"/>
          <w:b/>
          <w:sz w:val="20"/>
        </w:rPr>
        <w:t>Section</w:t>
      </w:r>
      <w:r>
        <w:rPr>
          <w:rFonts w:ascii="Times New Roman" w:hAnsi="Times New Roman"/>
          <w:sz w:val="20"/>
        </w:rPr>
        <w:t> </w:t>
      </w:r>
      <w:r>
        <w:rPr>
          <w:rFonts w:ascii="Times New Roman" w:hAnsi="Times New Roman"/>
          <w:b/>
          <w:sz w:val="20"/>
        </w:rPr>
        <w:t>8.19(c)(ii)</w:t>
      </w:r>
      <w:r>
        <w:rPr>
          <w:rFonts w:ascii="Times New Roman" w:hAnsi="Times New Roman"/>
          <w:sz w:val="20"/>
        </w:rPr>
        <w:t xml:space="preserve">, the Obligors shall at all times maintain the Minimum Liquidity Amount in cash and/or Permitted Cash Equivalent Investments in one or more Controlled Accounts that is free and clear of all Liens, other than Liens granted under the Notes Documents in favor of the Administrative Agent and Permitted Liens under </w:t>
      </w:r>
      <w:r>
        <w:rPr>
          <w:rFonts w:ascii="Times New Roman" w:hAnsi="Times New Roman"/>
          <w:b/>
          <w:sz w:val="20"/>
        </w:rPr>
        <w:t>Section</w:t>
      </w:r>
      <w:r>
        <w:rPr>
          <w:rFonts w:ascii="Times New Roman" w:hAnsi="Times New Roman"/>
          <w:sz w:val="20"/>
        </w:rPr>
        <w:t> </w:t>
      </w:r>
      <w:r>
        <w:rPr>
          <w:rFonts w:ascii="Times New Roman" w:hAnsi="Times New Roman"/>
          <w:b/>
          <w:sz w:val="20"/>
        </w:rPr>
        <w:t>9.02(i)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10.02</w:t>
      </w:r>
      <w:r>
        <w:rPr>
          <w:rFonts w:ascii="Times New Roman" w:hAnsi="Times New Roman"/>
          <w:sz w:val="20"/>
        </w:rPr>
        <w:t xml:space="preserve"> </w:t>
      </w:r>
      <w:r>
        <w:rPr>
          <w:rFonts w:ascii="Times New Roman" w:hAnsi="Times New Roman"/>
          <w:b/>
          <w:sz w:val="20"/>
        </w:rPr>
        <w:t>Minimum Consolidated Net Revenue</w:t>
      </w:r>
      <w:r>
        <w:rPr>
          <w:rFonts w:ascii="Times New Roman" w:hAnsi="Times New Roman"/>
          <w:sz w:val="20"/>
        </w:rPr>
        <w:t xml:space="preserve">. Commencing with the fiscal quarter of the Issuer ending on September 30, 2026 and with respect to each subsequent fiscal quarter thereafter, the Consolidated Net Revenue of the Issuer and its Subsidiaries for the twelve (12) consecutive month period ending on the last day of such fiscal quarter shall not be less than the amount set forth opposite such date in the table below for such quarter.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33"/>
        <w:gridCol w:w="761"/>
        <w:gridCol w:w="2845"/>
      </w:tblGrid>
      <w:tr>
        <w:trPr/>
        <w:tc>
          <w:tcPr>
            <w:tcW w:w="3333" w:type="dxa"/>
            <w:tcBorders/>
            <w:vAlign w:val="center"/>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r>
      <w:tr>
        <w:trPr/>
        <w:tc>
          <w:tcPr>
            <w:tcW w:w="33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Quarter Ended</w:t>
            </w:r>
          </w:p>
        </w:tc>
        <w:tc>
          <w:tcPr>
            <w:tcW w:w="761" w:type="dxa"/>
            <w:tcBorders/>
            <w:vAlign w:val="bottom"/>
          </w:tcPr>
          <w:p>
            <w:pPr>
              <w:pStyle w:val="TableContents"/>
              <w:bidi w:val="0"/>
              <w:spacing w:before="0" w:after="283"/>
              <w:jc w:val="left"/>
              <w:rPr/>
            </w:pPr>
            <w:r>
              <w:rPr/>
              <w:t>  </w:t>
            </w:r>
          </w:p>
        </w:tc>
        <w:tc>
          <w:tcPr>
            <w:tcW w:w="2845" w:type="dxa"/>
            <w:tcBorders>
              <w:bottom w:val="single" w:sz="8" w:space="0" w:color="000000"/>
            </w:tcBorders>
            <w:tcMar>
              <w:bottom w:w="28" w:type="dxa"/>
            </w:tcMar>
            <w:vAlign w:val="bottom"/>
          </w:tcPr>
          <w:p>
            <w:pPr>
              <w:pStyle w:val="TableContents"/>
              <w:bidi w:val="0"/>
              <w:spacing w:before="0" w:after="283"/>
              <w:jc w:val="center"/>
              <w:rPr>
                <w:b/>
              </w:rPr>
            </w:pPr>
            <w:r>
              <w:rPr>
                <w:b/>
              </w:rPr>
              <w:t>Minimum Consolidated Net</w:t>
              <w:br/>
              <w:t>Revenue</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2026</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2026</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31, 2027</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June 30, 2027</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2027</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2027</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31, 2028</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June 30, 2028</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2028</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2028</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31, 2029</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June 30, 2029</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2029</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2029</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31, 2030</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June 30, 2030</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30, 2030</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December 31, 2030</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r>
        <w:trPr/>
        <w:tc>
          <w:tcPr>
            <w:tcW w:w="33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31, 2031</w:t>
            </w:r>
          </w:p>
        </w:tc>
        <w:tc>
          <w:tcPr>
            <w:tcW w:w="761" w:type="dxa"/>
            <w:tcBorders/>
            <w:shd w:fill="CCEEFF" w:val="clear"/>
            <w:vAlign w:val="bottom"/>
          </w:tcPr>
          <w:p>
            <w:pPr>
              <w:pStyle w:val="TableContents"/>
              <w:bidi w:val="0"/>
              <w:spacing w:before="0" w:after="283"/>
              <w:jc w:val="left"/>
              <w:rPr/>
            </w:pPr>
            <w:r>
              <w:rPr/>
              <w:t>  </w:t>
            </w:r>
          </w:p>
        </w:tc>
        <w:tc>
          <w:tcPr>
            <w:tcW w:w="2845" w:type="dxa"/>
            <w:tcBorders/>
            <w:shd w:fill="CCEEFF" w:val="clear"/>
            <w:vAlign w:val="bottom"/>
          </w:tcPr>
          <w:p>
            <w:pPr>
              <w:pStyle w:val="TableContents"/>
              <w:bidi w:val="0"/>
              <w:spacing w:before="0" w:after="283"/>
              <w:jc w:val="center"/>
              <w:rPr/>
            </w:pPr>
            <w:r>
              <w:rPr/>
              <w:t>$[***]</w:t>
            </w:r>
          </w:p>
        </w:tc>
      </w:tr>
      <w:tr>
        <w:trPr/>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June 30, 2031</w:t>
            </w:r>
          </w:p>
        </w:tc>
        <w:tc>
          <w:tcPr>
            <w:tcW w:w="761" w:type="dxa"/>
            <w:tcBorders/>
            <w:vAlign w:val="bottom"/>
          </w:tcPr>
          <w:p>
            <w:pPr>
              <w:pStyle w:val="TableContents"/>
              <w:bidi w:val="0"/>
              <w:spacing w:before="0" w:after="283"/>
              <w:jc w:val="left"/>
              <w:rPr/>
            </w:pPr>
            <w:r>
              <w:rPr/>
              <w:t>  </w:t>
            </w:r>
          </w:p>
        </w:tc>
        <w:tc>
          <w:tcPr>
            <w:tcW w:w="2845" w:type="dxa"/>
            <w:tcBorders/>
            <w:vAlign w:val="bottom"/>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11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b/>
          <w:sz w:val="20"/>
        </w:rPr>
        <w:t>11.01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Each of the following events shall constitute an “</w:t>
      </w:r>
      <w:r>
        <w:rPr>
          <w:rFonts w:ascii="Times New Roman" w:hAnsi="Times New Roman"/>
          <w:b/>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Principal or Interest Payment Default</w:t>
      </w:r>
      <w:r>
        <w:rPr>
          <w:rFonts w:ascii="Times New Roman" w:hAnsi="Times New Roman"/>
          <w:sz w:val="20"/>
        </w:rPr>
        <w:t xml:space="preserve">. The Issuer shall fail to pay any principal or interest payment of the Notes, when and as the same shall become due and payable, whether at the due date thereof, at a date fixed for redemption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Other Payment Defaults</w:t>
      </w:r>
      <w:r>
        <w:rPr>
          <w:rFonts w:ascii="Times New Roman" w:hAnsi="Times New Roman"/>
          <w:sz w:val="20"/>
        </w:rPr>
        <w:t xml:space="preserve">. Any Obligor shall fail to pay any Obligation (other than the amounts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11.01(a)</w:t>
      </w:r>
      <w:r>
        <w:rPr>
          <w:rFonts w:ascii="Times New Roman" w:hAnsi="Times New Roman"/>
          <w:sz w:val="20"/>
        </w:rPr>
        <w:t xml:space="preserve">) when and as the same shall become due and payable, and such failure shall continue unremedied for a period of three (3) Business Days.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Representations and Warranties</w:t>
      </w:r>
      <w:r>
        <w:rPr>
          <w:rFonts w:ascii="Times New Roman" w:hAnsi="Times New Roman"/>
          <w:sz w:val="20"/>
        </w:rPr>
        <w:t xml:space="preserve">. Any representation or warranty made or deemed made by or on behalf of any Obligor or any of its Subsidiaries under or in connection with this Agreement or any other Notes Document or any amendment or modification hereof or thereof, or in any report, certificate, financial statement or other document furnished pursuant to or in connection with this Agreement or any other Notes Document or any amendment or modification hereof or thereof, shall, when taken as a whole: (i) shall have been incorrect when made or deemed made to the extent that such representation or warranty contains any materiality or Material Adverse Effect qualifier; or (ii) shall have been incorrect in any material respect when made or deemed made to the extent that such representation or warranty does not otherwise contain any materiality or Material Adverse Effect qualifier.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Certain Covenants</w:t>
      </w:r>
      <w:r>
        <w:rPr>
          <w:rFonts w:ascii="Times New Roman" w:hAnsi="Times New Roman"/>
          <w:sz w:val="20"/>
        </w:rPr>
        <w:t xml:space="preserve">. Any Obligor shall fail to observe or perform (i) any covenant, condition or agreement contained in </w:t>
      </w:r>
      <w:r>
        <w:rPr>
          <w:rFonts w:ascii="Times New Roman" w:hAnsi="Times New Roman"/>
          <w:b/>
          <w:sz w:val="20"/>
        </w:rPr>
        <w:t>Sections 8.01, 8.02, 8.03</w:t>
      </w:r>
      <w:r>
        <w:rPr>
          <w:rFonts w:ascii="Times New Roman" w:hAnsi="Times New Roman"/>
          <w:sz w:val="20"/>
        </w:rPr>
        <w:t xml:space="preserve"> (with respect to the Issuer’s existence), </w:t>
      </w:r>
      <w:r>
        <w:rPr>
          <w:rFonts w:ascii="Times New Roman" w:hAnsi="Times New Roman"/>
          <w:b/>
          <w:sz w:val="20"/>
        </w:rPr>
        <w:t>8.11</w:t>
      </w:r>
      <w:r>
        <w:rPr>
          <w:rFonts w:ascii="Times New Roman" w:hAnsi="Times New Roman"/>
          <w:sz w:val="20"/>
        </w:rPr>
        <w:t xml:space="preserve">, </w:t>
      </w:r>
      <w:r>
        <w:rPr>
          <w:rFonts w:ascii="Times New Roman" w:hAnsi="Times New Roman"/>
          <w:b/>
          <w:sz w:val="20"/>
        </w:rPr>
        <w:t>8.12</w:t>
      </w:r>
      <w:r>
        <w:rPr>
          <w:rFonts w:ascii="Times New Roman" w:hAnsi="Times New Roman"/>
          <w:sz w:val="20"/>
        </w:rPr>
        <w:t xml:space="preserve">, </w:t>
      </w:r>
      <w:r>
        <w:rPr>
          <w:rFonts w:ascii="Times New Roman" w:hAnsi="Times New Roman"/>
          <w:b/>
          <w:sz w:val="20"/>
        </w:rPr>
        <w:t>8.16,</w:t>
      </w:r>
      <w:r>
        <w:rPr>
          <w:rFonts w:ascii="Times New Roman" w:hAnsi="Times New Roman"/>
          <w:sz w:val="20"/>
        </w:rPr>
        <w:t xml:space="preserve"> </w:t>
      </w:r>
      <w:r>
        <w:rPr>
          <w:rFonts w:ascii="Times New Roman" w:hAnsi="Times New Roman"/>
          <w:b/>
          <w:sz w:val="20"/>
        </w:rPr>
        <w:t>8.19</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9</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or (ii) any material obligation under any Warrant Certificate, and such failure shall continue unremedied for a period of fifteen (15) Business Days.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Other Covenants</w:t>
      </w:r>
      <w:r>
        <w:rPr>
          <w:rFonts w:ascii="Times New Roman" w:hAnsi="Times New Roman"/>
          <w:sz w:val="20"/>
        </w:rPr>
        <w:t xml:space="preserve">. Any Obligor shall fail to observe or perform any covenant, condition or agreement contained in this Agreement (other than those specified in </w:t>
      </w:r>
      <w:r>
        <w:rPr>
          <w:rFonts w:ascii="Times New Roman" w:hAnsi="Times New Roman"/>
          <w:b/>
          <w:sz w:val="20"/>
        </w:rPr>
        <w:t>Section</w:t>
      </w:r>
      <w:r>
        <w:rPr>
          <w:rFonts w:ascii="Times New Roman" w:hAnsi="Times New Roman"/>
          <w:sz w:val="20"/>
        </w:rPr>
        <w:t> </w:t>
      </w:r>
      <w:r>
        <w:rPr>
          <w:rFonts w:ascii="Times New Roman" w:hAnsi="Times New Roman"/>
          <w:b/>
          <w:sz w:val="20"/>
        </w:rPr>
        <w:t>11.01(a)</w:t>
      </w:r>
      <w:r>
        <w:rPr>
          <w:rFonts w:ascii="Times New Roman" w:hAnsi="Times New Roman"/>
          <w:sz w:val="20"/>
        </w:rPr>
        <w:t xml:space="preserve">, </w:t>
      </w:r>
      <w:r>
        <w:rPr>
          <w:rFonts w:ascii="Times New Roman" w:hAnsi="Times New Roman"/>
          <w:b/>
          <w:sz w:val="20"/>
        </w:rPr>
        <w:t>11.01(b)</w:t>
      </w:r>
      <w:r>
        <w:rPr>
          <w:rFonts w:ascii="Times New Roman" w:hAnsi="Times New Roman"/>
          <w:sz w:val="20"/>
        </w:rPr>
        <w:t xml:space="preserve"> or </w:t>
      </w:r>
      <w:r>
        <w:rPr>
          <w:rFonts w:ascii="Times New Roman" w:hAnsi="Times New Roman"/>
          <w:b/>
          <w:sz w:val="20"/>
        </w:rPr>
        <w:t>11.01(d)</w:t>
      </w:r>
      <w:r>
        <w:rPr>
          <w:rFonts w:ascii="Times New Roman" w:hAnsi="Times New Roman"/>
          <w:sz w:val="20"/>
        </w:rPr>
        <w:t xml:space="preserve">) or any other Notes Document, and in the case of any failure that is capable of cure, such failure shall continue unremedied for a period of thirty (30) or more days.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Payment Default on Other Indebtedness</w:t>
      </w:r>
      <w:r>
        <w:rPr>
          <w:rFonts w:ascii="Times New Roman" w:hAnsi="Times New Roman"/>
          <w:sz w:val="20"/>
        </w:rPr>
        <w:t xml:space="preserve">. Any Obligor or any of its Subsidiaries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Other Defaults on Other Indebtedness</w:t>
      </w:r>
      <w:r>
        <w:rPr>
          <w:rFonts w:ascii="Times New Roman" w:hAnsi="Times New Roman"/>
          <w:sz w:val="20"/>
        </w:rPr>
        <w:t xml:space="preserve">. (i) Any material breach of, or “event of default” or similar event under, any Contract governing any Material Indebtedness shall occur, (ii) any event or condition occurs (x) that results in any Material Indebtedness becoming due prior to its scheduled maturity (beyond any applicable grace period in respect thereof) or (y) that enables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(iii) there occurs under any Hedging Agreement an early termination date (as defined in such Hedging Agreement) resulting from (x) any event of default under such Hedging Agreement as to which any Obligor or any of its Subsidiaries is the defaulting party (as defined in such Hedging Agreement) or (y) any termination event (as defined in such Hedging Agreement) under such Hedging Agreement as to which any Obligor or any Subsidiary is an affected party (as defined in such Hedging Agreement) and, in either event, the termination value (if determined in accordance with the Hedging Agreement) or the amount determined as the mark-to-market value (if the termination value has not been so determined) for such affected Hedging Agreement that is owed by any Obligor or such Subsidiary as a result thereof is greater than $2,500,000, or (iv) as a consequence of a breach or default by Autolus Limited of any material term in the Blackstone Collaboration Agreement, the BioNTech License Agreement or the UCLB License Agreement, Autolus Limited becomes subject to an event of default fee (or similar payment) not otherwise constituting a scheduled or a catch-up payment thereunder which fee or similar payment is greater than $2,500,000;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b/>
          <w:sz w:val="20"/>
        </w:rPr>
        <w:t>Section</w:t>
      </w:r>
      <w:r>
        <w:rPr>
          <w:rFonts w:ascii="Times New Roman" w:hAnsi="Times New Roman"/>
          <w:sz w:val="20"/>
        </w:rPr>
        <w:t> </w:t>
      </w:r>
      <w:r>
        <w:rPr>
          <w:rFonts w:ascii="Times New Roman" w:hAnsi="Times New Roman"/>
          <w:b/>
          <w:sz w:val="20"/>
        </w:rPr>
        <w:t>11.01(g)</w:t>
      </w:r>
      <w:r>
        <w:rPr>
          <w:rFonts w:ascii="Times New Roman" w:hAnsi="Times New Roman"/>
          <w:sz w:val="20"/>
        </w:rPr>
        <w:t xml:space="preserve"> shall not apply to secured Indebtedness that becomes due as a result of the voluntary sale or transfer of the property or assets securing such Material Indebtedness, or satisfaction of any condition giving rise to or permitting the foregoing, pursuant to their terms unless such redemption, exchange, repurchase, conversion or settlement results from a default thereunder, fundamental change or change of control (or equivalent term thereunder) or an event of the type that constitutes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Insolvency, Bankruptcy,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Obligor does not or becomes unable to pay its debts or meet its liabilities as the same become due, or admits in writing its inability to pay its debts generally, or declares any general moratorium on its indebtedness, or enters into a compromise or arrangement or deed of company arrangement between it and any class of its creditors. </w:t>
      </w:r>
    </w:p>
    <w:p>
      <w:pPr>
        <w:pStyle w:val="TextBody"/>
        <w:bidi w:val="0"/>
        <w:spacing w:before="120" w:after="0"/>
        <w:jc w:val="left"/>
        <w:rPr>
          <w:rFonts w:ascii="Times New Roman" w:hAnsi="Times New Roman"/>
          <w:sz w:val="20"/>
        </w:rPr>
      </w:pPr>
      <w:r>
        <w:rPr>
          <w:rFonts w:ascii="Times New Roman" w:hAnsi="Times New Roman"/>
          <w:sz w:val="20"/>
        </w:rPr>
        <w:t xml:space="preserve">(ii) Any Obligor commits an act of bankruptcy or makes an assignment of its property for the general benefit of its creditors or makes a proposal (or files a notice of its intention to do so). </w:t>
      </w:r>
    </w:p>
    <w:p>
      <w:pPr>
        <w:pStyle w:val="TextBody"/>
        <w:bidi w:val="0"/>
        <w:spacing w:before="120" w:after="0"/>
        <w:jc w:val="left"/>
        <w:rPr>
          <w:rFonts w:ascii="Times New Roman" w:hAnsi="Times New Roman"/>
          <w:sz w:val="20"/>
        </w:rPr>
      </w:pPr>
      <w:r>
        <w:rPr>
          <w:rFonts w:ascii="Times New Roman" w:hAnsi="Times New Roman"/>
          <w:sz w:val="20"/>
        </w:rPr>
        <w:t xml:space="preserve">(iii) Any Obligor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applicable Law, whether U.S. or non-U.S., now or hereafter in effect relating to bankruptcy, winding-up, insolvency, reorganization, receivership, examinership, plans of arrangement or relief or protection of debtors or at common law or in equity, or files an answer admitting the material allegations of a petition filed against it in any such proceeding (in each case, other than any liquidation, dissolution or winding-up permitted pursuant to </w:t>
      </w: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Any Obligor applies for the appointment of, or the taking of possession by, a receiver, interim receiver, receiver/manager, sequestrator, conservator, custodian, administrator, trustee, liquidator, provisional liquidator, voluntary administrator, receiver and manager or other similar official for it or any substantial part of its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Obligor takes any action, corporate or otherwise, to approve, effect, consent to or authorize any of the actions described in this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or otherwise acts in furtherance thereof or fails to act in a timely and appropriate manner in defense thereof. </w:t>
      </w:r>
    </w:p>
    <w:p>
      <w:pPr>
        <w:pStyle w:val="TextBody"/>
        <w:bidi w:val="0"/>
        <w:spacing w:before="120" w:after="0"/>
        <w:jc w:val="left"/>
        <w:rPr>
          <w:rFonts w:ascii="Times New Roman" w:hAnsi="Times New Roman"/>
          <w:sz w:val="20"/>
        </w:rPr>
      </w:pPr>
      <w:r>
        <w:rPr>
          <w:rFonts w:ascii="Times New Roman" w:hAnsi="Times New Roman"/>
          <w:sz w:val="20"/>
        </w:rPr>
        <w:t xml:space="preserve">(vi) Any petition is filed, application made or other proceeding instituted in a court of competent jurisdiction against or in respect of any Obligor: </w:t>
      </w:r>
    </w:p>
    <w:p>
      <w:pPr>
        <w:pStyle w:val="TextBody"/>
        <w:bidi w:val="0"/>
        <w:spacing w:before="120" w:after="0"/>
        <w:jc w:val="left"/>
        <w:rPr>
          <w:rFonts w:ascii="Times New Roman" w:hAnsi="Times New Roman"/>
          <w:sz w:val="20"/>
        </w:rPr>
      </w:pPr>
      <w:r>
        <w:rPr>
          <w:rFonts w:ascii="Times New Roman" w:hAnsi="Times New Roman"/>
          <w:sz w:val="20"/>
        </w:rPr>
        <w:t xml:space="preserve">(A) seeking to adjudicate it as insolvent; </w:t>
      </w:r>
    </w:p>
    <w:p>
      <w:pPr>
        <w:pStyle w:val="TextBody"/>
        <w:bidi w:val="0"/>
        <w:spacing w:before="120" w:after="0"/>
        <w:jc w:val="left"/>
        <w:rPr>
          <w:rFonts w:ascii="Times New Roman" w:hAnsi="Times New Roman"/>
          <w:sz w:val="20"/>
        </w:rPr>
      </w:pPr>
      <w:r>
        <w:rPr>
          <w:rFonts w:ascii="Times New Roman" w:hAnsi="Times New Roman"/>
          <w:sz w:val="20"/>
        </w:rPr>
        <w:t xml:space="preserve">(B) seeking a receiving order against it; </w:t>
      </w:r>
    </w:p>
    <w:p>
      <w:pPr>
        <w:pStyle w:val="TextBody"/>
        <w:bidi w:val="0"/>
        <w:spacing w:before="120" w:after="0"/>
        <w:jc w:val="left"/>
        <w:rPr>
          <w:rFonts w:ascii="Times New Roman" w:hAnsi="Times New Roman"/>
          <w:sz w:val="20"/>
        </w:rPr>
      </w:pPr>
      <w:r>
        <w:rPr>
          <w:rFonts w:ascii="Times New Roman" w:hAnsi="Times New Roman"/>
          <w:sz w:val="20"/>
        </w:rPr>
        <w:t xml:space="preserve">(C) 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applicable Law, whether U.S. or non-U.S., now or hereafter in effect relating to bankruptcy, winding-up, insolvency, reorganization, receivership, examinership, plans of arrangement or relief or protection of debtors or at common law or in equity; or </w:t>
      </w:r>
    </w:p>
    <w:p>
      <w:pPr>
        <w:pStyle w:val="TextBody"/>
        <w:bidi w:val="0"/>
        <w:spacing w:before="120" w:after="0"/>
        <w:jc w:val="left"/>
        <w:rPr>
          <w:rFonts w:ascii="Times New Roman" w:hAnsi="Times New Roman"/>
          <w:sz w:val="20"/>
        </w:rPr>
      </w:pPr>
      <w:r>
        <w:rPr>
          <w:rFonts w:ascii="Times New Roman" w:hAnsi="Times New Roman"/>
          <w:sz w:val="20"/>
        </w:rPr>
        <w:t xml:space="preserve">(D) seeking the entry of an order for relief or the appointment of, or the taking of possession by, a receiver, interim receiver, receiver/manager, sequestrator, conservator, custodian, administrator, trustee, liquidator, provisional liquidator, voluntary administrator, receiver and manager or other similar official for it or any substantial part of its property, and such petition, application or proceeding (i.e. clauses (A) through (D) of this provision) continues undismissed, or unstayed and in effect, for a period of sixty (60) days after the institution thereof; </w:t>
      </w:r>
      <w:r>
        <w:rPr>
          <w:rFonts w:ascii="Times New Roman" w:hAnsi="Times New Roman"/>
          <w:sz w:val="20"/>
          <w:u w:val="single"/>
        </w:rPr>
        <w:t>provided</w:t>
      </w:r>
      <w:r>
        <w:rPr>
          <w:rFonts w:ascii="Times New Roman" w:hAnsi="Times New Roman"/>
          <w:sz w:val="20"/>
        </w:rPr>
        <w:t xml:space="preserve"> that if an order, decree or judgment is granted or entered (whether or not entered or subject to appeal) against any Obligor thereunder in the interim, such grace period will cease to apply;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Obligor files an answer admitting the material allegations of a petition filed against it in any such proceeding, such grace period will cease to apply. </w:t>
      </w:r>
    </w:p>
    <w:p>
      <w:pPr>
        <w:pStyle w:val="TextBody"/>
        <w:bidi w:val="0"/>
        <w:spacing w:before="120" w:after="0"/>
        <w:jc w:val="left"/>
        <w:rPr>
          <w:rFonts w:ascii="Times New Roman" w:hAnsi="Times New Roman"/>
          <w:sz w:val="20"/>
        </w:rPr>
      </w:pPr>
      <w:r>
        <w:rPr>
          <w:rFonts w:ascii="Times New Roman" w:hAnsi="Times New Roman"/>
          <w:sz w:val="20"/>
        </w:rPr>
        <w:t xml:space="preserve">(vii) Any other event occurs which, under the applicable Law of any applicable jurisdiction, has an effect equivalent to any of the events referred to in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English Insolvency Event</w:t>
      </w:r>
      <w:r>
        <w:rPr>
          <w:rFonts w:ascii="Times New Roman" w:hAnsi="Times New Roman"/>
          <w:sz w:val="20"/>
        </w:rPr>
        <w:t xml:space="preserve">. With respect to any English Obligor, the occurrence of any English Insolvency Event. In this </w:t>
      </w:r>
      <w:r>
        <w:rPr>
          <w:rFonts w:ascii="Times New Roman" w:hAnsi="Times New Roman"/>
          <w:b/>
          <w:sz w:val="20"/>
        </w:rPr>
        <w:t>Section</w:t>
      </w:r>
      <w:r>
        <w:rPr>
          <w:rFonts w:ascii="Times New Roman" w:hAnsi="Times New Roman"/>
          <w:sz w:val="20"/>
        </w:rPr>
        <w:t> </w:t>
      </w:r>
      <w:r>
        <w:rPr>
          <w:rFonts w:ascii="Times New Roman" w:hAnsi="Times New Roman"/>
          <w:b/>
          <w:sz w:val="20"/>
        </w:rPr>
        <w:t>11.01(i)</w:t>
      </w:r>
      <w:r>
        <w:rPr>
          <w:rFonts w:ascii="Times New Roman" w:hAnsi="Times New Roman"/>
          <w:sz w:val="20"/>
        </w:rPr>
        <w:t>, “</w:t>
      </w:r>
      <w:r>
        <w:rPr>
          <w:rFonts w:ascii="Times New Roman" w:hAnsi="Times New Roman"/>
          <w:b/>
          <w:i/>
          <w:sz w:val="20"/>
        </w:rPr>
        <w:t>English Insolvency Event</w:t>
      </w:r>
      <w:r>
        <w:rPr>
          <w:rFonts w:ascii="Times New Roman" w:hAnsi="Times New Roman"/>
          <w:sz w:val="20"/>
        </w:rPr>
        <w:t xml:space="preserve">” means, in relation to any English Obligor, (a) such entity (i) is unable or admits an inability to pay its debts as they fall due, (ii) is declared to be unable to pay its debts under applicable Law, (iii) suspends making payments on any of its debts, or (iv) by reason of actual or anticipated financial difficulties, commences negotiations in writing with one or more of its creditors (excluding the Noteholders in their capacity as such) with a view to rescheduling any of its indebtedness; (b) a moratorium is declared in respect of any indebtedness of any such entity (and if a moratorium occurs, the ending of the moratorium will not remedy any Event of Default caused by that moratorium); or (c) (i) any resolution is passed or order made for a moratorium of any indebtedness, the winding-up, dissolution, administration, restructuring plan or reorganisation (by way of voluntary arrangement, scheme of arrangement or otherwise, other than a solvent reconstruction) of that English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composition, compromise, assignment or arrangement with any creditor of that English Obligor, (iii) the appointment of a liquidator, receiver, administrative receiver, administrator, compulsory manager, monitor or other similar officer in respect of any such entity or any of such entity’s assets, or (iv) any analogous procedure or step is taken in any jurisdiction, unless in each case under this paragraph (i), such action is permitted under this Agreement, or such winding-up petition is frivolous or vexatious and is discharged, stayed or dismissed within thirty (30) days of commencement.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German Insolvency Event</w:t>
      </w:r>
      <w:r>
        <w:rPr>
          <w:rFonts w:ascii="Times New Roman" w:hAnsi="Times New Roman"/>
          <w:sz w:val="20"/>
        </w:rPr>
        <w:t xml:space="preserve">. With respect to any German Guarantors, the occurrence of any German Insolvency Event. In this </w:t>
      </w:r>
      <w:r>
        <w:rPr>
          <w:rFonts w:ascii="Times New Roman" w:hAnsi="Times New Roman"/>
          <w:b/>
          <w:sz w:val="20"/>
        </w:rPr>
        <w:t>Section</w:t>
      </w:r>
      <w:r>
        <w:rPr>
          <w:rFonts w:ascii="Times New Roman" w:hAnsi="Times New Roman"/>
          <w:sz w:val="20"/>
        </w:rPr>
        <w:t> </w:t>
      </w:r>
      <w:r>
        <w:rPr>
          <w:rFonts w:ascii="Times New Roman" w:hAnsi="Times New Roman"/>
          <w:b/>
          <w:sz w:val="20"/>
        </w:rPr>
        <w:t>11.01(j)</w:t>
      </w:r>
      <w:r>
        <w:rPr>
          <w:rFonts w:ascii="Times New Roman" w:hAnsi="Times New Roman"/>
          <w:sz w:val="20"/>
        </w:rPr>
        <w:t>, “</w:t>
      </w:r>
      <w:r>
        <w:rPr>
          <w:rFonts w:ascii="Times New Roman" w:hAnsi="Times New Roman"/>
          <w:b/>
          <w:i/>
          <w:sz w:val="20"/>
        </w:rPr>
        <w:t>German Insolvency Event</w:t>
      </w:r>
      <w:r>
        <w:rPr>
          <w:rFonts w:ascii="Times New Roman" w:hAnsi="Times New Roman"/>
          <w:sz w:val="20"/>
        </w:rPr>
        <w:t>” means, in relation to any German Guarantors: (i) it is overindebted (</w:t>
      </w:r>
      <w:r>
        <w:rPr>
          <w:rFonts w:ascii="Times New Roman" w:hAnsi="Times New Roman"/>
          <w:i/>
          <w:sz w:val="20"/>
        </w:rPr>
        <w:t>überschuldet</w:t>
      </w:r>
      <w:r>
        <w:rPr>
          <w:rFonts w:ascii="Times New Roman" w:hAnsi="Times New Roman"/>
          <w:sz w:val="20"/>
        </w:rPr>
        <w:t>) within the meaning of section 19 of the German Insolvency Code (</w:t>
      </w:r>
      <w:r>
        <w:rPr>
          <w:rFonts w:ascii="Times New Roman" w:hAnsi="Times New Roman"/>
          <w:i/>
          <w:sz w:val="20"/>
        </w:rPr>
        <w:t>Insolvenzordnung</w:t>
      </w:r>
      <w:r>
        <w:rPr>
          <w:rFonts w:ascii="Times New Roman" w:hAnsi="Times New Roman"/>
          <w:sz w:val="20"/>
        </w:rPr>
        <w:t>); (ii) the board of directors or management (</w:t>
      </w:r>
      <w:r>
        <w:rPr>
          <w:rFonts w:ascii="Times New Roman" w:hAnsi="Times New Roman"/>
          <w:i/>
          <w:sz w:val="20"/>
        </w:rPr>
        <w:t>Vorstand oder Geschäftsführung</w:t>
      </w:r>
      <w:r>
        <w:rPr>
          <w:rFonts w:ascii="Times New Roman" w:hAnsi="Times New Roman"/>
          <w:sz w:val="20"/>
        </w:rPr>
        <w:t>) of the German Guarantor is required by law to file for insolvency, or the competent court takes any of the actions set out in section 21 of the German Insolvency Code (</w:t>
      </w:r>
      <w:r>
        <w:rPr>
          <w:rFonts w:ascii="Times New Roman" w:hAnsi="Times New Roman"/>
          <w:i/>
          <w:sz w:val="20"/>
        </w:rPr>
        <w:t>Insolvenzordnung</w:t>
      </w:r>
      <w:r>
        <w:rPr>
          <w:rFonts w:ascii="Times New Roman" w:hAnsi="Times New Roman"/>
          <w:sz w:val="20"/>
        </w:rPr>
        <w:t>) or the competent court institutes (</w:t>
      </w:r>
      <w:r>
        <w:rPr>
          <w:rFonts w:ascii="Times New Roman" w:hAnsi="Times New Roman"/>
          <w:i/>
          <w:sz w:val="20"/>
        </w:rPr>
        <w:t>Eröffnung des Insolvenzverfahrens</w:t>
      </w:r>
      <w:r>
        <w:rPr>
          <w:rFonts w:ascii="Times New Roman" w:hAnsi="Times New Roman"/>
          <w:sz w:val="20"/>
        </w:rPr>
        <w:t>) or rejects proceedings (</w:t>
      </w:r>
      <w:r>
        <w:rPr>
          <w:rFonts w:ascii="Times New Roman" w:hAnsi="Times New Roman"/>
          <w:i/>
          <w:sz w:val="20"/>
        </w:rPr>
        <w:t>Abweisung des Insolvenzantrags</w:t>
      </w:r>
      <w:r>
        <w:rPr>
          <w:rFonts w:ascii="Times New Roman" w:hAnsi="Times New Roman"/>
          <w:sz w:val="20"/>
        </w:rPr>
        <w:t xml:space="preserve">) for reason of insufficiency of its funds to implement such proceedings against the German Guarantor; or (iii) the dissolution or attachment in respect of the German Guarantor.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Judgments</w:t>
      </w:r>
      <w:r>
        <w:rPr>
          <w:rFonts w:ascii="Times New Roman" w:hAnsi="Times New Roman"/>
          <w:sz w:val="20"/>
        </w:rPr>
        <w:t xml:space="preserve">. One or more final judgments for the payment of money in an aggregate amount in excess of $2,000,000 (or the Equivalent Amount in other currencies) (exclusive of any amounts fully covered by insurance (less any applicable deductible) and as to which the insurer has not rejected responsibility to cover such judgment) shall be rendered against the Issuer or any Obligor or any combination thereof and the same shall remain undismissed, unsatisfied or undischarged for a period of sixty (60) calendar days during which execution shall not be effectively stayed, or any action shall be legally taken by a judgment creditor to attach or levy upon any assets of any Obligor to enforce any such judgment.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ERISA and Pension Plans</w:t>
      </w:r>
      <w:r>
        <w:rPr>
          <w:rFonts w:ascii="Times New Roman" w:hAnsi="Times New Roman"/>
          <w:sz w:val="20"/>
        </w:rPr>
        <w:t xml:space="preserve">. An ERISA Event shall have occurred that, when taken together with all other ERISA Events that have occurred, has resulted or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rPr>
        <w:t>UK Pensions.</w:t>
      </w:r>
      <w:r>
        <w:rPr>
          <w:rFonts w:ascii="Times New Roman" w:hAnsi="Times New Roman"/>
          <w:sz w:val="20"/>
        </w:rPr>
        <w:t xml:space="preserve"> With respect to any Obligor or any of its Subsidiaries or any of their respective Affiliates, (i) such Person is convicted of an offence under the Criminal Pension Powers, (ii) the Pensions Regulator issues a Financial Support Direction or a Contribution Notice to such Person, or (iii) such Person incurs a debt or other liability which becomes due and payable to or in respect of any UK DB Plan, and in each case, such event has or could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rPr>
        <w:t>Material Adverse Change, Etc.</w:t>
      </w:r>
      <w:r>
        <w:rPr>
          <w:rFonts w:ascii="Times New Roman" w:hAnsi="Times New Roman"/>
          <w:sz w:val="20"/>
        </w:rPr>
        <w:t xml:space="preserve"> A Material Adverse Change, Material Adverse Effect or Material Regulatory Event shall have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b/>
          <w:sz w:val="20"/>
        </w:rPr>
        <w:t>Impairment of Security, Etc.</w:t>
      </w:r>
      <w:r>
        <w:rPr>
          <w:rFonts w:ascii="Times New Roman" w:hAnsi="Times New Roman"/>
          <w:sz w:val="20"/>
        </w:rPr>
        <w:t xml:space="preserve"> If any of the following events occurs, subject to the English Legal Reservations, German Legal Reservations and the Perfection Requirements, and other than as a result of the acts or omissions of the Administrative Agent or any Noteholder with respect to the following </w:t>
      </w:r>
      <w:r>
        <w:rPr>
          <w:rFonts w:ascii="Times New Roman" w:hAnsi="Times New Roman"/>
          <w:b/>
          <w:sz w:val="20"/>
        </w:rPr>
        <w:t>clause (i)</w:t>
      </w:r>
      <w:r>
        <w:rPr>
          <w:rFonts w:ascii="Times New Roman" w:hAnsi="Times New Roman"/>
          <w:sz w:val="20"/>
        </w:rPr>
        <w:t xml:space="preserve">: (i) any Lien created by any of the Security Documents shall at any time not constitute a valid and perfected Lien on the applicable Collateral in favor of the Secured Parties, free and clear of all other Liens (other than Permitted Liens) to the extent perfection is required herein or therein, other than solely as the result of any action(s) taken by the Administrative Agent or the failure of the Administrative Agent to take any action(s) within its control, or any combination thereof, which does not arise from a breach of any Notes Document by an Obligor, (ii) except for expiration in accordance with its terms, any of the Security Documents or any Guarantee of any of the Obligations (including that contained in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shall for whatever reason cease to be in full force and effect, or (iii) any Obligor shall, directly or indirectly, contest in any manner such effectiveness, validity, binding nature or enforceability of any such Lien or any Notes Document. </w:t>
      </w:r>
    </w:p>
    <w:p>
      <w:pPr>
        <w:pStyle w:val="TextBody"/>
        <w:bidi w:val="0"/>
        <w:spacing w:before="120" w:after="0"/>
        <w:jc w:val="left"/>
        <w:rPr>
          <w:rFonts w:ascii="Times New Roman" w:hAnsi="Times New Roman"/>
          <w:sz w:val="20"/>
        </w:rPr>
      </w:pPr>
      <w:r>
        <w:rPr>
          <w:rFonts w:ascii="Times New Roman" w:hAnsi="Times New Roman"/>
          <w:b/>
          <w:sz w:val="20"/>
        </w:rPr>
        <w:t>11.02</w:t>
      </w:r>
      <w:r>
        <w:rPr>
          <w:rFonts w:ascii="Times New Roman" w:hAnsi="Times New Roman"/>
          <w:sz w:val="20"/>
        </w:rPr>
        <w:t xml:space="preserve"> </w:t>
      </w:r>
      <w:r>
        <w:rPr>
          <w:rFonts w:ascii="Times New Roman" w:hAnsi="Times New Roman"/>
          <w:b/>
          <w:sz w:val="20"/>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Defaults Other Than Bankruptcy Defaults.</w:t>
      </w:r>
      <w:r>
        <w:rPr>
          <w:rFonts w:ascii="Times New Roman" w:hAnsi="Times New Roman"/>
          <w:sz w:val="20"/>
        </w:rPr>
        <w:t xml:space="preserve"> Upon the occurrence and during the continuance of any Event of Default (other than an Event of Default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11.01(i)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11.01(j) </w:t>
      </w:r>
      <w:r>
        <w:rPr>
          <w:rFonts w:ascii="Times New Roman" w:hAnsi="Times New Roman"/>
          <w:sz w:val="20"/>
        </w:rPr>
        <w:t xml:space="preserve">(other than with respect to an English Obligor)), the Administrative Agent may, by notice to the Issuer, take either or both of the following actions, at the same or different times: (i) terminate the Commitments, and thereupon the Commitments shall terminate immediately, and (ii) declare the Notes then outstanding to be immediately due and payable in whole (or in part, in which case any principal not so declared to be due and payable may thereafter be declared to be due and payable), and thereupon the outstanding principal amount of the Notes so declared to be due and payable, together with accrued interest thereon and all fees and other Obligations, shall become due and payable immediately (in the case of the Notes, at the Early Redemption Price therefor), without presentment, demand, protest or other notice of any kind, all of which are hereby waived by each Obligor.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Bankruptcy Defaults</w:t>
      </w:r>
      <w:r>
        <w:rPr>
          <w:rFonts w:ascii="Times New Roman" w:hAnsi="Times New Roman"/>
          <w:sz w:val="20"/>
        </w:rPr>
        <w:t xml:space="preserve">. In case of an Event of Default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11.01(i)</w:t>
      </w:r>
      <w:r>
        <w:rPr>
          <w:rFonts w:ascii="Times New Roman" w:hAnsi="Times New Roman"/>
          <w:sz w:val="20"/>
        </w:rPr>
        <w:t xml:space="preserve"> or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11.01(j) </w:t>
      </w:r>
      <w:r>
        <w:rPr>
          <w:rFonts w:ascii="Times New Roman" w:hAnsi="Times New Roman"/>
          <w:sz w:val="20"/>
        </w:rPr>
        <w:t xml:space="preserve">(other than with respect to an English Obligor), the Commitments shall automatically terminate and the principal amount of the Notes then outstanding, together with accrued interest thereon and all fees and other Obligations, shall automatically become due and payable immediately (in the case of the Notes, at the Early Redemption Price therefor), without presentment, demand, protest or other notice of any kind, all of which are hereby waived by each Obligor. Unless expressly provided otherwise herein, upon the occurrence thereof Events of Default shall remain outstanding until waived or otherwise cured in writing by the Administrative Agent. </w:t>
      </w:r>
    </w:p>
    <w:p>
      <w:pPr>
        <w:pStyle w:val="TextBody"/>
        <w:bidi w:val="0"/>
        <w:spacing w:before="120" w:after="0"/>
        <w:jc w:val="left"/>
        <w:rPr>
          <w:rFonts w:ascii="Times New Roman" w:hAnsi="Times New Roman"/>
          <w:sz w:val="20"/>
        </w:rPr>
      </w:pPr>
      <w:r>
        <w:rPr>
          <w:rFonts w:ascii="Times New Roman" w:hAnsi="Times New Roman"/>
          <w:b/>
          <w:sz w:val="20"/>
        </w:rPr>
        <w:t>11.03</w:t>
      </w:r>
      <w:r>
        <w:rPr>
          <w:rFonts w:ascii="Times New Roman" w:hAnsi="Times New Roman"/>
          <w:sz w:val="20"/>
        </w:rPr>
        <w:t xml:space="preserve"> </w:t>
      </w:r>
      <w:r>
        <w:rPr>
          <w:rFonts w:ascii="Times New Roman" w:hAnsi="Times New Roman"/>
          <w:b/>
          <w:sz w:val="20"/>
        </w:rPr>
        <w:t>Additional Remedies</w:t>
      </w:r>
      <w:r>
        <w:rPr>
          <w:rFonts w:ascii="Times New Roman" w:hAnsi="Times New Roman"/>
          <w:sz w:val="20"/>
        </w:rPr>
        <w:t xml:space="preserve">. In the event any Event of Default shall have occurred and is continuing, if the Issuer or any of its Subsidiaries shall be in uncured default under a Material Agreement, the Administrative Agent or the Noteholders shall have the right (but not the obligation) to cause the default or defaults under such Material Agreement to be remedied (including without limitation by paying any unpaid amount thereunder) and otherwise exercise any and all rights of the Issuer or such Subsidiary, as the case may be, thereunder, as may be necessary to prevent or cure any default. Without limiting the foregoing, upon any such default, the Issuer and each of its Subsidiaries shall promptly execute, acknowledge and deliver to the Administrative Agent such instruments as may reasonably be required of the Issuer or such Subsidiary to permit the Administrative Agent and the Noteholders to cure any default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Material Agreement or permit the Administrative Agent and the Noteholders to take such other action required to enable the Administrative Agent and the Noteholders to cure or remedy the matter in default and preserve the interests of the Administrative Agent or Noteholders. Any amounts paid by the Administrative Agent or Noteholders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shall be payable on demand by Obligors, shall accrue interest at the Default Rate if not paid on demand, and shall constitute “Obligations.” </w:t>
      </w:r>
    </w:p>
    <w:p>
      <w:pPr>
        <w:pStyle w:val="TextBody"/>
        <w:bidi w:val="0"/>
        <w:spacing w:before="120" w:after="0"/>
        <w:jc w:val="left"/>
        <w:rPr>
          <w:rFonts w:ascii="Times New Roman" w:hAnsi="Times New Roman"/>
          <w:sz w:val="20"/>
        </w:rPr>
      </w:pPr>
      <w:r>
        <w:rPr>
          <w:rFonts w:ascii="Times New Roman" w:hAnsi="Times New Roman"/>
          <w:b/>
          <w:sz w:val="20"/>
        </w:rPr>
        <w:t>11.04</w:t>
      </w:r>
      <w:r>
        <w:rPr>
          <w:rFonts w:ascii="Times New Roman" w:hAnsi="Times New Roman"/>
          <w:sz w:val="20"/>
        </w:rPr>
        <w:t xml:space="preserve"> </w:t>
      </w:r>
      <w:r>
        <w:rPr>
          <w:rFonts w:ascii="Times New Roman" w:hAnsi="Times New Roman"/>
          <w:b/>
          <w:sz w:val="20"/>
        </w:rPr>
        <w:t>Application of Payments</w:t>
      </w:r>
      <w:r>
        <w:rPr>
          <w:rFonts w:ascii="Times New Roman" w:hAnsi="Times New Roman"/>
          <w:sz w:val="20"/>
        </w:rPr>
        <w:t xml:space="preserve">. Notwithstanding anything herein to the contrary, following the occurrence and during the continuance of an Event of Default, all payments received on account of the Obligations shall be applied by the Administrative Agent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and disbursements and other charges of counsel payable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payable to the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Noteholders (including fees and disbursements and other charges of counsel payable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arising under the Notes Documents, ratably among them in proportion to the respective amounts described in this </w:t>
      </w:r>
      <w:r>
        <w:rPr>
          <w:rFonts w:ascii="Times New Roman" w:hAnsi="Times New Roman"/>
          <w:b/>
          <w:sz w:val="20"/>
        </w:rPr>
        <w:t>clause</w:t>
      </w:r>
      <w:r>
        <w:rPr>
          <w:rFonts w:ascii="Times New Roman" w:hAnsi="Times New Roman"/>
          <w:sz w:val="20"/>
        </w:rPr>
        <w:t> </w:t>
      </w:r>
      <w:r>
        <w:rPr>
          <w:rFonts w:ascii="Times New Roman" w:hAnsi="Times New Roman"/>
          <w:b/>
          <w:sz w:val="20"/>
        </w:rPr>
        <w:t>(b)</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third</w:t>
      </w:r>
      <w:r>
        <w:rPr>
          <w:rFonts w:ascii="Times New Roman" w:hAnsi="Times New Roman"/>
          <w:sz w:val="20"/>
        </w:rPr>
        <w:t xml:space="preserve">, to payment of that portion of the Obligations constituting accrued and unpaid interest on the Notes, ratably among the Noteholders in proportion to the respective amounts described in this </w:t>
      </w:r>
      <w:r>
        <w:rPr>
          <w:rFonts w:ascii="Times New Roman" w:hAnsi="Times New Roman"/>
          <w:b/>
          <w:sz w:val="20"/>
        </w:rPr>
        <w:t>clause</w:t>
      </w:r>
      <w:r>
        <w:rPr>
          <w:rFonts w:ascii="Times New Roman" w:hAnsi="Times New Roman"/>
          <w:sz w:val="20"/>
        </w:rPr>
        <w:t> </w:t>
      </w:r>
      <w:r>
        <w:rPr>
          <w:rFonts w:ascii="Times New Roman" w:hAnsi="Times New Roman"/>
          <w:b/>
          <w:sz w:val="20"/>
        </w:rPr>
        <w:t>(c)</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Notes ratably among the Noteholders in proportion to the respective amounts described in this </w:t>
      </w:r>
      <w:r>
        <w:rPr>
          <w:rFonts w:ascii="Times New Roman" w:hAnsi="Times New Roman"/>
          <w:b/>
          <w:sz w:val="20"/>
        </w:rPr>
        <w:t>clause</w:t>
      </w:r>
      <w:r>
        <w:rPr>
          <w:rFonts w:ascii="Times New Roman" w:hAnsi="Times New Roman"/>
          <w:sz w:val="20"/>
        </w:rPr>
        <w:t> </w:t>
      </w:r>
      <w:r>
        <w:rPr>
          <w:rFonts w:ascii="Times New Roman" w:hAnsi="Times New Roman"/>
          <w:b/>
          <w:sz w:val="20"/>
        </w:rPr>
        <w:t>(d)</w:t>
      </w:r>
      <w:r>
        <w:rPr>
          <w:rFonts w:ascii="Times New Roman" w:hAnsi="Times New Roman"/>
          <w:sz w:val="20"/>
        </w:rPr>
        <w:t xml:space="preserve">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fifth</w:t>
      </w:r>
      <w:r>
        <w:rPr>
          <w:rFonts w:ascii="Times New Roman" w:hAnsi="Times New Roman"/>
          <w:sz w:val="20"/>
        </w:rPr>
        <w:t xml:space="preserve">, to the payment in full of all other Obligations (including payment of any Early Redemption Fee), in each case ratably among the Administrative Agent and the Noteholders based upon the respective aggregate amounts of all such Obligations owing to them in accordance with the respective amounts thereof then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finally</w:t>
      </w:r>
      <w:r>
        <w:rPr>
          <w:rFonts w:ascii="Times New Roman" w:hAnsi="Times New Roman"/>
          <w:sz w:val="20"/>
        </w:rPr>
        <w:t xml:space="preserve">, the balance, if any, after all Obligations have been indefeasibly paid in full, to the Issuer or as otherwise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12 </w:t>
      </w:r>
    </w:p>
    <w:p>
      <w:pPr>
        <w:pStyle w:val="TextBody"/>
        <w:bidi w:val="0"/>
        <w:spacing w:before="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b/>
          <w:sz w:val="20"/>
        </w:rPr>
        <w:t>12.01</w:t>
      </w:r>
      <w:r>
        <w:rPr>
          <w:rFonts w:ascii="Times New Roman" w:hAnsi="Times New Roman"/>
          <w:sz w:val="20"/>
        </w:rPr>
        <w:t xml:space="preserve"> </w:t>
      </w:r>
      <w:r>
        <w:rPr>
          <w:rFonts w:ascii="Times New Roman" w:hAnsi="Times New Roman"/>
          <w:b/>
          <w:sz w:val="20"/>
        </w:rPr>
        <w:t>Appointment and Duties</w:t>
      </w:r>
      <w:r>
        <w:rPr>
          <w:rFonts w:ascii="Times New Roman" w:hAnsi="Times New Roman"/>
          <w:sz w:val="20"/>
        </w:rPr>
        <w:t xml:space="preserve">. Subject in all cases to </w:t>
      </w:r>
      <w:r>
        <w:rPr>
          <w:rFonts w:ascii="Times New Roman" w:hAnsi="Times New Roman"/>
          <w:b/>
          <w:sz w:val="20"/>
        </w:rPr>
        <w:t>clause (c)</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Appointment of the Administrative Agent</w:t>
      </w:r>
      <w:r>
        <w:rPr>
          <w:rFonts w:ascii="Times New Roman" w:hAnsi="Times New Roman"/>
          <w:sz w:val="20"/>
        </w:rPr>
        <w:t xml:space="preserve">. Each of the Noteholders hereby irrevocably appoints Perceptive Credit Holdings V, LP (together with any successor the Administrative Agent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12.09</w:t>
      </w:r>
      <w:r>
        <w:rPr>
          <w:rFonts w:ascii="Times New Roman" w:hAnsi="Times New Roman"/>
          <w:sz w:val="20"/>
        </w:rPr>
        <w:t xml:space="preserve">) as the Administrative Agent hereunder and authorizes the Administrative Agent to (i) execute and deliver the Notes Document and accept delivery thereof on its behalf from any Obligor or any of its Subsidiaries, (ii) take such action on its behalf and to exercise all rights, powers and remedies and perform the duties as are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delegated to the Administrative Agent under such Notes Document and (iii) exercise such powers as are reasonably incidental thereto. Except as expressly set forth herein, the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(other than </w:t>
      </w:r>
      <w:r>
        <w:rPr>
          <w:rFonts w:ascii="Times New Roman" w:hAnsi="Times New Roman"/>
          <w:b/>
          <w:sz w:val="20"/>
        </w:rPr>
        <w:t>Section</w:t>
      </w:r>
      <w:r>
        <w:rPr>
          <w:rFonts w:ascii="Times New Roman" w:hAnsi="Times New Roman"/>
          <w:sz w:val="20"/>
        </w:rPr>
        <w:t> </w:t>
      </w:r>
      <w:r>
        <w:rPr>
          <w:rFonts w:ascii="Times New Roman" w:hAnsi="Times New Roman"/>
          <w:b/>
          <w:sz w:val="20"/>
        </w:rPr>
        <w:t>12.09</w:t>
      </w:r>
      <w:r>
        <w:rPr>
          <w:rFonts w:ascii="Times New Roman" w:hAnsi="Times New Roman"/>
          <w:sz w:val="20"/>
        </w:rPr>
        <w:t xml:space="preserve">, and solely to the extent expressly set forth therein) are solely for the benefit of the Administrative Agent and the Noteholders, and no Obligor or any Affiliate thereof shall have rights as a third-party beneficiary of any such provisions.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Duties as Collateral and Disbursing Agent</w:t>
      </w:r>
      <w:r>
        <w:rPr>
          <w:rFonts w:ascii="Times New Roman" w:hAnsi="Times New Roman"/>
          <w:sz w:val="20"/>
        </w:rPr>
        <w:t xml:space="preserve">. Without limiting the generality of </w:t>
      </w:r>
      <w:r>
        <w:rPr>
          <w:rFonts w:ascii="Times New Roman" w:hAnsi="Times New Roman"/>
          <w:b/>
          <w:sz w:val="20"/>
        </w:rPr>
        <w:t>Section</w:t>
      </w:r>
      <w:r>
        <w:rPr>
          <w:rFonts w:ascii="Times New Roman" w:hAnsi="Times New Roman"/>
          <w:sz w:val="20"/>
        </w:rPr>
        <w:t> </w:t>
      </w:r>
      <w:r>
        <w:rPr>
          <w:rFonts w:ascii="Times New Roman" w:hAnsi="Times New Roman"/>
          <w:b/>
          <w:sz w:val="20"/>
        </w:rPr>
        <w:t>12.01(a)</w:t>
      </w:r>
      <w:r>
        <w:rPr>
          <w:rFonts w:ascii="Times New Roman" w:hAnsi="Times New Roman"/>
          <w:sz w:val="20"/>
        </w:rPr>
        <w:t xml:space="preserve">, the Administrative Agent shall have the sole and exclusive right and authority (to the exclusion of the Noteholders), and is hereby authorized, to (i) act as the disbursing and collecting agent for the Noteholders with respect to all payments and collections arising in connection with the Notes Documents (including in any proceeding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11.01(i) </w:t>
      </w:r>
      <w:r>
        <w:rPr>
          <w:rFonts w:ascii="Times New Roman" w:hAnsi="Times New Roman"/>
          <w:sz w:val="20"/>
        </w:rPr>
        <w:t xml:space="preserve">or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11.01(j) </w:t>
      </w:r>
      <w:r>
        <w:rPr>
          <w:rFonts w:ascii="Times New Roman" w:hAnsi="Times New Roman"/>
          <w:sz w:val="20"/>
        </w:rPr>
        <w:t xml:space="preserve">or any other bankruptcy, insolvency or similar proceeding); </w:t>
      </w:r>
      <w:r>
        <w:rPr>
          <w:rFonts w:ascii="Times New Roman" w:hAnsi="Times New Roman"/>
          <w:sz w:val="20"/>
          <w:u w:val="single"/>
        </w:rPr>
        <w:t>provided</w:t>
      </w:r>
      <w:r>
        <w:rPr>
          <w:rFonts w:ascii="Times New Roman" w:hAnsi="Times New Roman"/>
          <w:sz w:val="20"/>
        </w:rPr>
        <w:t xml:space="preserve"> that (i) the Administrative Agent shall only be required to act in such agency capacity if it has notified the Issuer and the Noteholders in writing that it has elected to do so, and (ii) so long as the Administrative Agent has not delivered any such election notice it shall not be deemed to be acting as a disbursing and collecting agent for any other Noteholder or Secured Party and no Person (including any Withholding Agent) shall be authorized to make any payment to the Administrative Agent for such purpose, (ii) file and prove claims and file other documents necessary or desirable to allow the claims of the Secured Parties with respect to any Obligation in any proceeding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11.01(h)</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11.01(i)</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11.01(j) </w:t>
      </w:r>
      <w:r>
        <w:rPr>
          <w:rFonts w:ascii="Times New Roman" w:hAnsi="Times New Roman"/>
          <w:sz w:val="20"/>
        </w:rPr>
        <w:t xml:space="preserve">or any other bankruptcy, insolvency or similar proceeding (but not to vote, consent or otherwise act on behalf of such Secured Party), (iii) act as collateral agent for each Secured Party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Notes Documents, (vi) except as may be otherwise specified in any Notes Document, exercise all remedies given to the Administrative Agent and the other Secured Parties with respect to the Collateral, whether under the Notes Documents, applicable Laws or otherwise (vii) enter into non-disturbance agreements and similar agreements and (viii) execute any amendment, consent or waiver under the Notes Documents on behalf of any Noteholder that has consented in writing to such amendment, consent or waiver; </w:t>
      </w:r>
      <w:r>
        <w:rPr>
          <w:rFonts w:ascii="Times New Roman" w:hAnsi="Times New Roman"/>
          <w:sz w:val="20"/>
          <w:u w:val="single"/>
        </w:rPr>
        <w:t>provided</w:t>
      </w:r>
      <w:r>
        <w:rPr>
          <w:rFonts w:ascii="Times New Roman" w:hAnsi="Times New Roman"/>
          <w:sz w:val="20"/>
        </w:rPr>
        <w:t xml:space="preserve"> that the Administrative Agent hereby appoints, authorizes and directs each Noteholder to act as collateral sub-agent for the Administrative Agent and the Noteholders for purposes of the perfection of all Liens with respect to the Collateral, including any deposit account maintained by any Obligor with, and cash and Permitted Cash Equivalent Investments held by, such Noteholder, and may further authorize and direct the Noteholders to take further actions as collateral sub-agents for purposes of enforcing such Liens or otherwise to transfer the Collateral subject thereto to the Administrative Agent, and each Noteholder hereby agrees to take such further actions to the extent, and only to the extent, so authorized and directed.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Limited Duties</w:t>
      </w:r>
      <w:r>
        <w:rPr>
          <w:rFonts w:ascii="Times New Roman" w:hAnsi="Times New Roman"/>
          <w:sz w:val="20"/>
        </w:rPr>
        <w:t xml:space="preserve">. The Noteholders and the Obligors hereby each acknowledge and agree that the Administrative Agent (i) has undertaken its role hereunder purely as an accommodation to the parties hereto and the Transactions, (ii) is receiving no compensation for undertaking such role and (iii) subject only to the notice provisions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12.09</w:t>
      </w:r>
      <w:r>
        <w:rPr>
          <w:rFonts w:ascii="Times New Roman" w:hAnsi="Times New Roman"/>
          <w:sz w:val="20"/>
        </w:rPr>
        <w:t xml:space="preserve">, may resign from such role at any time for any reason or no reason whatsoever. Without limiting the foregoing, the parties hereto further acknowledge and agree that under the Notes Documents, the Administrative Agent (i) is acting solely on behalf of the Noteholders (except to the limited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w:t>
      </w:r>
      <w:r>
        <w:rPr>
          <w:rFonts w:ascii="Times New Roman" w:hAnsi="Times New Roman"/>
          <w:b/>
          <w:sz w:val="20"/>
        </w:rPr>
        <w:t>Section</w:t>
      </w:r>
      <w:r>
        <w:rPr>
          <w:rFonts w:ascii="Times New Roman" w:hAnsi="Times New Roman"/>
          <w:sz w:val="20"/>
        </w:rPr>
        <w:t> </w:t>
      </w:r>
      <w:r>
        <w:rPr>
          <w:rFonts w:ascii="Times New Roman" w:hAnsi="Times New Roman"/>
          <w:b/>
          <w:sz w:val="20"/>
        </w:rPr>
        <w:t>12.11</w:t>
      </w:r>
      <w:r>
        <w:rPr>
          <w:rFonts w:ascii="Times New Roman" w:hAnsi="Times New Roman"/>
          <w:sz w:val="20"/>
        </w:rPr>
        <w:t xml:space="preserve">), with duties that are entirely administrative in nature and do not (and are not intended to) create any fiduciary obligations, notwithstanding the use of the defined term “the Administrative Agent”, the terms “agent”, “administrative agent” and “collateral agent” and similar terms in any Notes Document to refer to the Administrative Agent, which terms are used for title purposes only, (ii) is not assuming any obligation under any Notes Document other than as expressly set forth therein or any role as agent, fiduciary or trustee of or for any Noteholder or any other Secured Party and (iii) shall have no implied functions, responsibilities, duties, obligations or other liabilities under any Notes Document (fiduciary or otherwise), and each Noteholder hereby waives and agrees not to assert any claim against the Administrative Agent based on the roles, duties and legal relationships expressly disclaimed in this </w:t>
      </w:r>
      <w:r>
        <w:rPr>
          <w:rFonts w:ascii="Times New Roman" w:hAnsi="Times New Roman"/>
          <w:b/>
          <w:sz w:val="20"/>
        </w:rPr>
        <w:t>clause (c)</w:t>
      </w:r>
      <w:r>
        <w:rPr>
          <w:rFonts w:ascii="Times New Roman" w:hAnsi="Times New Roman"/>
          <w:sz w:val="20"/>
        </w:rPr>
        <w:t xml:space="preserve">. Without in any way limiting the foregoing, the Administrative Agent shall not, except as expressly set forth in this Agreement and in the other Notes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 </w:t>
      </w:r>
    </w:p>
    <w:p>
      <w:pPr>
        <w:pStyle w:val="TextBody"/>
        <w:bidi w:val="0"/>
        <w:spacing w:before="120" w:after="0"/>
        <w:jc w:val="left"/>
        <w:rPr>
          <w:rFonts w:ascii="Times New Roman" w:hAnsi="Times New Roman"/>
          <w:sz w:val="20"/>
        </w:rPr>
      </w:pPr>
      <w:r>
        <w:rPr>
          <w:rFonts w:ascii="Times New Roman" w:hAnsi="Times New Roman"/>
          <w:b/>
          <w:sz w:val="20"/>
        </w:rPr>
        <w:t>12.02</w:t>
      </w:r>
      <w:r>
        <w:rPr>
          <w:rFonts w:ascii="Times New Roman" w:hAnsi="Times New Roman"/>
          <w:sz w:val="20"/>
        </w:rPr>
        <w:t xml:space="preserve"> </w:t>
      </w:r>
      <w:r>
        <w:rPr>
          <w:rFonts w:ascii="Times New Roman" w:hAnsi="Times New Roman"/>
          <w:b/>
          <w:sz w:val="20"/>
        </w:rPr>
        <w:t>Binding Effect</w:t>
      </w:r>
      <w:r>
        <w:rPr>
          <w:rFonts w:ascii="Times New Roman" w:hAnsi="Times New Roman"/>
          <w:sz w:val="20"/>
        </w:rPr>
        <w:t xml:space="preserve">. Each Noteholder agrees that (i) any action taken by the Administrative Agent or the Majority Noteholders (or, if expressly required hereby, a greater proportion of the Noteholders) in accordance with the provisions of the Notes Documents, (ii) any action taken by the Administrative Agent in reliance upon the instructions of the Majority Noteholders (or, where so required, such greater proportion) and (iii) the exercise by the Administrative Agent or the Majority Noteholders (or, where so required, such greater proportion) of the powers set forth herein or therein, together with such other powers as are reasonably incidental thereto, shall be authorized and binding upon all of the Secured Parties. </w:t>
      </w:r>
    </w:p>
    <w:p>
      <w:pPr>
        <w:pStyle w:val="TextBody"/>
        <w:bidi w:val="0"/>
        <w:spacing w:before="120" w:after="0"/>
        <w:jc w:val="left"/>
        <w:rPr>
          <w:rFonts w:ascii="Times New Roman" w:hAnsi="Times New Roman"/>
          <w:sz w:val="20"/>
        </w:rPr>
      </w:pPr>
      <w:r>
        <w:rPr>
          <w:rFonts w:ascii="Times New Roman" w:hAnsi="Times New Roman"/>
          <w:b/>
          <w:sz w:val="20"/>
        </w:rPr>
        <w:t>12.03</w:t>
      </w:r>
      <w:r>
        <w:rPr>
          <w:rFonts w:ascii="Times New Roman" w:hAnsi="Times New Roman"/>
          <w:sz w:val="20"/>
        </w:rPr>
        <w:t xml:space="preserve"> </w:t>
      </w:r>
      <w:r>
        <w:rPr>
          <w:rFonts w:ascii="Times New Roman" w:hAnsi="Times New Roman"/>
          <w:b/>
          <w:sz w:val="20"/>
        </w:rPr>
        <w:t>Use of Discretion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 Action without Instructions</w:t>
      </w:r>
      <w:r>
        <w:rPr>
          <w:rFonts w:ascii="Times New Roman" w:hAnsi="Times New Roman"/>
          <w:sz w:val="20"/>
        </w:rPr>
        <w:t xml:space="preserve">. The Administrative Agent shall not be required to exercise any discretion or take, or to omit to take, any action, including with respect to enforcement or collection, except (subject to </w:t>
      </w:r>
      <w:r>
        <w:rPr>
          <w:rFonts w:ascii="Times New Roman" w:hAnsi="Times New Roman"/>
          <w:b/>
          <w:sz w:val="20"/>
        </w:rPr>
        <w:t>clause (b)</w:t>
      </w:r>
      <w:r>
        <w:rPr>
          <w:rFonts w:ascii="Times New Roman" w:hAnsi="Times New Roman"/>
          <w:sz w:val="20"/>
        </w:rPr>
        <w:t xml:space="preserve"> below) any action it is required to take or omit to take (i) under any Notes Document or (ii) pursuant to instructions from the Majority Noteholders (or, where expressly required by the terms of this Agreement, a greater proportion of the Noteholders).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Right Not to Follow Certain Instructions</w:t>
      </w:r>
      <w:r>
        <w:rPr>
          <w:rFonts w:ascii="Times New Roman" w:hAnsi="Times New Roman"/>
          <w:sz w:val="20"/>
        </w:rPr>
        <w:t xml:space="preserve">. Notwithstanding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12.03(a) </w:t>
      </w:r>
      <w:r>
        <w:rPr>
          <w:rFonts w:ascii="Times New Roman" w:hAnsi="Times New Roman"/>
          <w:sz w:val="20"/>
        </w:rPr>
        <w:t xml:space="preserve">or any other term or provision of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the Administrative Agent shall not be required to take, or to omit to take, any action (i) unless, upon demand, the Administrative Agent receives an indemnification satisfactory to it from the Noteholders (or, to the extent applicable and acceptable to the Administrative Agent, any other Secured Party) against all liabilities that, by reason of such action or omission, may be imposed on, incurred by or asserted against the Administrative Agent or any Related Parties thereof or (ii) that is, in the opinion of the Administrative Agent, in its sole and absolute discretion, contrary to any Notes Document, applicable Law or the best interests of the Administrative Agent or any of its Affiliates or Related Parties, including, for the avoidance of doubt, any action that may be in violation of the automatic stay in connection with any Insolvency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12.04</w:t>
      </w:r>
      <w:r>
        <w:rPr>
          <w:rFonts w:ascii="Times New Roman" w:hAnsi="Times New Roman"/>
          <w:sz w:val="20"/>
        </w:rPr>
        <w:t xml:space="preserve"> </w:t>
      </w:r>
      <w:r>
        <w:rPr>
          <w:rFonts w:ascii="Times New Roman" w:hAnsi="Times New Roman"/>
          <w:b/>
          <w:sz w:val="20"/>
        </w:rPr>
        <w:t>Delegation of Rights and Duties</w:t>
      </w:r>
      <w:r>
        <w:rPr>
          <w:rFonts w:ascii="Times New Roman" w:hAnsi="Times New Roman"/>
          <w:sz w:val="20"/>
        </w:rPr>
        <w:t xml:space="preserve">. The Administrative Agent may, upon any term or condition it specifies, delegate or exercise any of its rights, powers and remedies under, and delegate or perform any of its duties or any other action with respect to, any Notes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to the extent provided by the Administrative Agent; </w:t>
      </w:r>
      <w:r>
        <w:rPr>
          <w:rFonts w:ascii="Times New Roman" w:hAnsi="Times New Roman"/>
          <w:sz w:val="20"/>
          <w:u w:val="single"/>
        </w:rPr>
        <w:t>provided</w:t>
      </w:r>
      <w:r>
        <w:rPr>
          <w:rFonts w:ascii="Times New Roman" w:hAnsi="Times New Roman"/>
          <w:sz w:val="20"/>
        </w:rPr>
        <w:t xml:space="preserve">, however, that the exculpatory provisions of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120" w:after="0"/>
        <w:jc w:val="left"/>
        <w:rPr>
          <w:rFonts w:ascii="Times New Roman" w:hAnsi="Times New Roman"/>
          <w:sz w:val="20"/>
        </w:rPr>
      </w:pPr>
      <w:r>
        <w:rPr>
          <w:rFonts w:ascii="Times New Roman" w:hAnsi="Times New Roman"/>
          <w:b/>
          <w:sz w:val="20"/>
        </w:rPr>
        <w:t>12.05</w:t>
      </w:r>
      <w:r>
        <w:rPr>
          <w:rFonts w:ascii="Times New Roman" w:hAnsi="Times New Roman"/>
          <w:sz w:val="20"/>
        </w:rPr>
        <w:t xml:space="preserve"> </w:t>
      </w:r>
      <w:r>
        <w:rPr>
          <w:rFonts w:ascii="Times New Roman" w:hAnsi="Times New Roman"/>
          <w:b/>
          <w:sz w:val="20"/>
        </w:rPr>
        <w:t>Reliance and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document and information and any telephone message or conversation, in each case believed by it to be genuine and transmitted, signed or otherwise authenticated by the appropriate parties. In determining compliance with any condition hereunder to the issuance of a Note that by its terms must be fulfilled to the satisfaction of a Noteholder, the Administrative Agent may presume that such condition is satisfactory to such Noteholder unless the Administrative Agent shall have received written notice to the contrary from such Noteholder prior to the making of such Note. </w:t>
      </w:r>
    </w:p>
    <w:p>
      <w:pPr>
        <w:pStyle w:val="TextBody"/>
        <w:bidi w:val="0"/>
        <w:spacing w:before="120" w:after="0"/>
        <w:jc w:val="left"/>
        <w:rPr>
          <w:rFonts w:ascii="Times New Roman" w:hAnsi="Times New Roman"/>
          <w:sz w:val="20"/>
        </w:rPr>
      </w:pPr>
      <w:r>
        <w:rPr>
          <w:rFonts w:ascii="Times New Roman" w:hAnsi="Times New Roman"/>
          <w:sz w:val="20"/>
        </w:rPr>
        <w:t xml:space="preserve">(b) Neither the Administrative Agent nor any of its Related Parties shall be liable for any action taken or omitted to be taken by any of them under or in connection with any Notes Document, and each Noteholder and each Obligor hereby waives and shall not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shall not be responsible or otherwise incur liability for any action or omission taken in reliance upon the instructions of the Majority Noteholders or for the actions or omissions of any of their Related Parties selected with reasonable care (other than employees, officers and directors of the Administrative Agent, when acting on behalf of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shall not be responsible to any Secured Party for the due execution, legality, validity, enforceability, effectiveness, genuineness, sufficiency or value of, or the attachment, perfection or priority of any Lien created or purported to be created under or in connection with, any Notes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makes no warranty or representation, and shall not be responsible, to any Secured Party for any statement, document, information, representation or warranty made or furnished by or on behalf of any Related Party, in or in connection with any Notes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Notes Documents; and </w:t>
      </w:r>
    </w:p>
    <w:p>
      <w:pPr>
        <w:pStyle w:val="TextBody"/>
        <w:bidi w:val="0"/>
        <w:spacing w:before="120" w:after="0"/>
        <w:jc w:val="left"/>
        <w:rPr>
          <w:rFonts w:ascii="Times New Roman" w:hAnsi="Times New Roman"/>
          <w:sz w:val="20"/>
        </w:rPr>
      </w:pPr>
      <w:r>
        <w:rPr>
          <w:rFonts w:ascii="Times New Roman" w:hAnsi="Times New Roman"/>
          <w:sz w:val="20"/>
        </w:rPr>
        <w:t xml:space="preserve">(iv) shall not have any duty to ascertain or to inquire as to the performance or observance of any provision of any Notes Document, whether any condition set forth in any Notes Document is satisfied or waived,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Issuer, any Noteholder describing such Default or Event of Default clearly labeled “notice of default” (in which case the Administrative Agent shall promptly give notice of such receipt to all Noteholders); </w:t>
      </w:r>
    </w:p>
    <w:p>
      <w:pPr>
        <w:pStyle w:val="TextBody"/>
        <w:bidi w:val="0"/>
        <w:spacing w:before="240" w:after="0"/>
        <w:jc w:val="left"/>
        <w:rPr>
          <w:rFonts w:ascii="Times New Roman" w:hAnsi="Times New Roman"/>
          <w:sz w:val="20"/>
        </w:rPr>
      </w:pPr>
      <w:r>
        <w:rPr>
          <w:rFonts w:ascii="Times New Roman" w:hAnsi="Times New Roman"/>
          <w:sz w:val="20"/>
        </w:rPr>
        <w:t xml:space="preserve">and, for each of the items set forth in </w:t>
      </w:r>
      <w:r>
        <w:rPr>
          <w:rFonts w:ascii="Times New Roman" w:hAnsi="Times New Roman"/>
          <w:b/>
          <w:sz w:val="20"/>
        </w:rPr>
        <w:t>clauses (i)</w:t>
      </w:r>
      <w:r>
        <w:rPr>
          <w:rFonts w:ascii="Times New Roman" w:hAnsi="Times New Roman"/>
          <w:sz w:val="20"/>
        </w:rPr>
        <w:t xml:space="preserve"> through </w:t>
      </w:r>
      <w:r>
        <w:rPr>
          <w:rFonts w:ascii="Times New Roman" w:hAnsi="Times New Roman"/>
          <w:b/>
          <w:sz w:val="20"/>
        </w:rPr>
        <w:t>(iv)</w:t>
      </w:r>
      <w:r>
        <w:rPr>
          <w:rFonts w:ascii="Times New Roman" w:hAnsi="Times New Roman"/>
          <w:sz w:val="20"/>
        </w:rPr>
        <w:t xml:space="preserve"> above, each Noteholder and each Obligor hereby waives and agrees not to assert any right, claim or cause of action it might have against the Administrative Agent based thereon. </w:t>
      </w:r>
    </w:p>
    <w:p>
      <w:pPr>
        <w:pStyle w:val="TextBody"/>
        <w:bidi w:val="0"/>
        <w:spacing w:before="120" w:after="0"/>
        <w:jc w:val="left"/>
        <w:rPr>
          <w:rFonts w:ascii="Times New Roman" w:hAnsi="Times New Roman"/>
          <w:sz w:val="20"/>
        </w:rPr>
      </w:pPr>
      <w:r>
        <w:rPr>
          <w:rFonts w:ascii="Times New Roman" w:hAnsi="Times New Roman"/>
          <w:b/>
          <w:sz w:val="20"/>
        </w:rPr>
        <w:t>12.06</w:t>
      </w:r>
      <w:r>
        <w:rPr>
          <w:rFonts w:ascii="Times New Roman" w:hAnsi="Times New Roman"/>
          <w:sz w:val="20"/>
        </w:rPr>
        <w:t xml:space="preserve"> </w:t>
      </w:r>
      <w:r>
        <w:rPr>
          <w:rFonts w:ascii="Times New Roman" w:hAnsi="Times New Roman"/>
          <w:b/>
          <w:sz w:val="20"/>
        </w:rPr>
        <w:t>Administrative Agent Individually</w:t>
      </w:r>
      <w:r>
        <w:rPr>
          <w:rFonts w:ascii="Times New Roman" w:hAnsi="Times New Roman"/>
          <w:sz w:val="20"/>
        </w:rPr>
        <w:t xml:space="preserve">. The Administrative Agent and its Affiliates may purchase notes and/or make other extensions of credit to, acquire Equity Interests of, engage in any kind of business with, any Obligor or Affiliate thereof as though it were not acting as the Administrative Agent and may receive separate fees and other payments therefor. To the extent the Administrative Agent or any of its Affiliates subscribes for or purchases any Notes or otherwise becomes a Noteholder hereunder, it shall have and may exercise the same rights and powers hereunder and shall be subject to the same obligations and liabilities as any other Noteholder and the terms “Noteholder”, “Majority Noteholder”, and any similar terms shall, except where otherwise expressly provided in any Notes Document, include, without limitation, the Administrative Agent or such Affiliate, as the case may be, in its individual capacity as Noteholder or as one of the Majority Noteholders, respectively. </w:t>
      </w:r>
    </w:p>
    <w:p>
      <w:pPr>
        <w:pStyle w:val="TextBody"/>
        <w:bidi w:val="0"/>
        <w:spacing w:before="120" w:after="0"/>
        <w:jc w:val="left"/>
        <w:rPr>
          <w:rFonts w:ascii="Times New Roman" w:hAnsi="Times New Roman"/>
          <w:sz w:val="20"/>
        </w:rPr>
      </w:pPr>
      <w:r>
        <w:rPr>
          <w:rFonts w:ascii="Times New Roman" w:hAnsi="Times New Roman"/>
          <w:b/>
          <w:sz w:val="20"/>
        </w:rPr>
        <w:t>12.07</w:t>
      </w:r>
      <w:r>
        <w:rPr>
          <w:rFonts w:ascii="Times New Roman" w:hAnsi="Times New Roman"/>
          <w:sz w:val="20"/>
        </w:rPr>
        <w:t xml:space="preserve"> </w:t>
      </w:r>
      <w:r>
        <w:rPr>
          <w:rFonts w:ascii="Times New Roman" w:hAnsi="Times New Roman"/>
          <w:b/>
          <w:sz w:val="20"/>
        </w:rPr>
        <w:t>Noteholder Credit Decision</w:t>
      </w:r>
      <w:r>
        <w:rPr>
          <w:rFonts w:ascii="Times New Roman" w:hAnsi="Times New Roman"/>
          <w:sz w:val="20"/>
        </w:rPr>
        <w:t xml:space="preserve">. Each Noteholder acknowledges that it has, independently and without reliance upon the Administrative Agent, any Noteholder or any of their Related Parties or upon any document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Notes Document or with respect to any transaction contemplated in any Notes Document, in each case based on such documents and information as it shall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12.08</w:t>
      </w:r>
      <w:r>
        <w:rPr>
          <w:rFonts w:ascii="Times New Roman" w:hAnsi="Times New Roman"/>
          <w:sz w:val="20"/>
        </w:rPr>
        <w:t xml:space="preserve"> </w:t>
      </w:r>
      <w:r>
        <w:rPr>
          <w:rFonts w:ascii="Times New Roman" w:hAnsi="Times New Roman"/>
          <w:b/>
          <w:sz w:val="20"/>
        </w:rPr>
        <w:t>Expenses; Indemnities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Noteholder agrees to reimburse the Administrative Agent and each of its Related Parties (to the extent not reimbursed by any Obligor) promptly upon demand for such Noteholder’s Proportionate Share of any costs and expenses (including fees, charges and disbursements of financial, legal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Notes Document. </w:t>
      </w:r>
    </w:p>
    <w:p>
      <w:pPr>
        <w:pStyle w:val="TextBody"/>
        <w:bidi w:val="0"/>
        <w:spacing w:before="120" w:after="0"/>
        <w:jc w:val="left"/>
        <w:rPr>
          <w:rFonts w:ascii="Times New Roman" w:hAnsi="Times New Roman"/>
          <w:sz w:val="20"/>
        </w:rPr>
      </w:pPr>
      <w:r>
        <w:rPr>
          <w:rFonts w:ascii="Times New Roman" w:hAnsi="Times New Roman"/>
          <w:sz w:val="20"/>
        </w:rPr>
        <w:t xml:space="preserve">(b) Each Noteholder further agrees to indemnify the Administrative Agent and each of its Related Parties (to the extent not reimbursed by any Obligor), from and against such Noteholder’s aggregate Proportionate Share of the liabilities (including taxes, interests and penalties imposed for not properly withholding or backup withholding on payments made to on or for the account of any Noteholder) that may be imposed on, incurred by or asserted against the Administrative Agent or any of its Related Parties in any matter relating to or arising out of, in connection with or as a result of any Notes Document or any other act, event or transaction related, contemplated in or attendant to any such Notes Document, or, in each case, any action taken or omitted to be taken by the Administrative Agent or any of its Related Parties under or with respect to any of the foregoing; </w:t>
      </w:r>
      <w:r>
        <w:rPr>
          <w:rFonts w:ascii="Times New Roman" w:hAnsi="Times New Roman"/>
          <w:sz w:val="20"/>
          <w:u w:val="single"/>
        </w:rPr>
        <w:t>provided</w:t>
      </w:r>
      <w:r>
        <w:rPr>
          <w:rFonts w:ascii="Times New Roman" w:hAnsi="Times New Roman"/>
          <w:sz w:val="20"/>
        </w:rPr>
        <w:t xml:space="preserve"> that no Noteholder shall be liable to the Administrative Agent or any of its Related Parties to the extent such liability has resulted primarily from the gross negligence or willful misconduct of the Administrative Agent or, as the case may be, such Related Party, as determined by a court of competent jurisdiction in a final non-appealable judgment or order. </w:t>
      </w:r>
    </w:p>
    <w:p>
      <w:pPr>
        <w:pStyle w:val="TextBody"/>
        <w:bidi w:val="0"/>
        <w:spacing w:before="120" w:after="0"/>
        <w:jc w:val="left"/>
        <w:rPr>
          <w:rFonts w:ascii="Times New Roman" w:hAnsi="Times New Roman"/>
          <w:sz w:val="20"/>
        </w:rPr>
      </w:pPr>
      <w:r>
        <w:rPr>
          <w:rFonts w:ascii="Times New Roman" w:hAnsi="Times New Roman"/>
          <w:b/>
          <w:sz w:val="20"/>
        </w:rPr>
        <w:t>12.09</w:t>
      </w:r>
      <w:r>
        <w:rPr>
          <w:rFonts w:ascii="Times New Roman" w:hAnsi="Times New Roman"/>
          <w:sz w:val="20"/>
        </w:rPr>
        <w:t xml:space="preserve"> </w:t>
      </w:r>
      <w:r>
        <w:rPr>
          <w:rFonts w:ascii="Times New Roman" w:hAnsi="Times New Roman"/>
          <w:b/>
          <w:sz w:val="20"/>
        </w:rPr>
        <w:t>Resignation of the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any time upon not less than five (5) Business Days prior written notice to the Issuer and the Noteholders, the Administrative Agent may resign as the “the Administrative Agent” hereunder (in the sole and absolute discretion of the Administrative Agent), effective on the date set forth in such notice, which effective date shall not be less than five (5) (or more than thirty (30)) days following delivery of such notice. If the Administrative Agent delivers any such notice, the Majority Noteholders shall have the right to appoint a successor (which successor shall not be a Disqualified Institution) to the Administrative Agent; </w:t>
      </w:r>
      <w:r>
        <w:rPr>
          <w:rFonts w:ascii="Times New Roman" w:hAnsi="Times New Roman"/>
          <w:sz w:val="20"/>
          <w:u w:val="single"/>
        </w:rPr>
        <w:t>provided</w:t>
      </w:r>
      <w:r>
        <w:rPr>
          <w:rFonts w:ascii="Times New Roman" w:hAnsi="Times New Roman"/>
          <w:sz w:val="20"/>
        </w:rPr>
        <w:t xml:space="preserve"> that if a successor to the Administrative Agent has not been appointed on or before the effectiveness of the resignation of the resigning Administrative Agent, then the resigning Administrative Agent may, on behalf of the Noteholders, appoint any Person reasonably chosen by it (other than a Disqualified Institution) as the successor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Effective immediately upon its resignation, (i) the resigning Administrative Agent shall be discharged from its duties and obligations under the Notes Documents to the extent set forth in the applicable resignation notice, (ii) the Noteholders shall assume and perform all of the duties of the Administrative Agent until a successor the Administrative Agent shall have accepted a valid appointment hereunder, (iii) the resigning Administrative Agent and its Related Parties shall no longer have the benefit of any provision of any Notes Document other than with respect to (x) any actions taken or omitted to be taken while such resigning Administrative Agent was, or because the Administrative Agent had been, validly acting as the Administrative Agent under the Notes Documents or (y) any continuing duties such resigning Administrative Agent continues to perform, and (iv) subject to its rights under </w:t>
      </w:r>
      <w:r>
        <w:rPr>
          <w:rFonts w:ascii="Times New Roman" w:hAnsi="Times New Roman"/>
          <w:b/>
          <w:sz w:val="20"/>
        </w:rPr>
        <w:t>Section</w:t>
      </w:r>
      <w:r>
        <w:rPr>
          <w:rFonts w:ascii="Times New Roman" w:hAnsi="Times New Roman"/>
          <w:sz w:val="20"/>
        </w:rPr>
        <w:t> </w:t>
      </w:r>
      <w:r>
        <w:rPr>
          <w:rFonts w:ascii="Times New Roman" w:hAnsi="Times New Roman"/>
          <w:b/>
          <w:sz w:val="20"/>
        </w:rPr>
        <w:t>12.04</w:t>
      </w:r>
      <w:r>
        <w:rPr>
          <w:rFonts w:ascii="Times New Roman" w:hAnsi="Times New Roman"/>
          <w:sz w:val="20"/>
        </w:rPr>
        <w:t xml:space="preserve">, the resigning Administrative Agent shall take such action as may be reasonably necessary to assign to the successor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its rights as the Administrative Agent under the Notes Documents. Effective immediately upon its acceptance of a valid appointment as the Administrative Agent, a successor the Administrative Agent shall succeed to, and become vested with, all the rights, powers, privileges and duties of the resigning Administrative Agent under the Notes Documents. </w:t>
      </w:r>
    </w:p>
    <w:p>
      <w:pPr>
        <w:pStyle w:val="TextBody"/>
        <w:bidi w:val="0"/>
        <w:spacing w:before="120" w:after="0"/>
        <w:jc w:val="left"/>
        <w:rPr>
          <w:rFonts w:ascii="Times New Roman" w:hAnsi="Times New Roman"/>
          <w:sz w:val="20"/>
        </w:rPr>
      </w:pPr>
      <w:r>
        <w:rPr>
          <w:rFonts w:ascii="Times New Roman" w:hAnsi="Times New Roman"/>
          <w:b/>
          <w:sz w:val="20"/>
        </w:rPr>
        <w:t>12.10</w:t>
      </w:r>
      <w:r>
        <w:rPr>
          <w:rFonts w:ascii="Times New Roman" w:hAnsi="Times New Roman"/>
          <w:sz w:val="20"/>
        </w:rPr>
        <w:t xml:space="preserve"> </w:t>
      </w:r>
      <w:r>
        <w:rPr>
          <w:rFonts w:ascii="Times New Roman" w:hAnsi="Times New Roman"/>
          <w:b/>
          <w:sz w:val="20"/>
        </w:rPr>
        <w:t>Release of Collateral or Guarantors</w:t>
      </w:r>
      <w:r>
        <w:rPr>
          <w:rFonts w:ascii="Times New Roman" w:hAnsi="Times New Roman"/>
          <w:sz w:val="20"/>
        </w:rPr>
        <w:t xml:space="preserve">. Each Noteholder hereby consents to the release and hereby directs the Administrative Agent to release (or, in the case of </w:t>
      </w:r>
      <w:r>
        <w:rPr>
          <w:rFonts w:ascii="Times New Roman" w:hAnsi="Times New Roman"/>
          <w:b/>
          <w:sz w:val="20"/>
        </w:rPr>
        <w:t>Section</w:t>
      </w:r>
      <w:r>
        <w:rPr>
          <w:rFonts w:ascii="Times New Roman" w:hAnsi="Times New Roman"/>
          <w:sz w:val="20"/>
        </w:rPr>
        <w:t> </w:t>
      </w:r>
      <w:r>
        <w:rPr>
          <w:rFonts w:ascii="Times New Roman" w:hAnsi="Times New Roman"/>
          <w:b/>
          <w:sz w:val="20"/>
        </w:rPr>
        <w:t>12.10(b)(ii)</w:t>
      </w:r>
      <w:r>
        <w:rPr>
          <w:rFonts w:ascii="Times New Roman" w:hAnsi="Times New Roman"/>
          <w:sz w:val="20"/>
        </w:rPr>
        <w:t xml:space="preserve">, release or subordinate)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Subsidiary of the Issuer from its guaranty of any Obligation of any Obligor if all of the Equity Interests in such Subsidiary owned by any Obligor or any of its Subsidiaries are disposed of in an Asset Sale permitted under the Notes Documents (including pursuant to a waiver or consent), to the extent that, after giving effect to such Asset Sale, such Subsidiary would not be required to guaranty any Obligations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8.12(a)</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(b) any Lien held by the Administrative Agent for the benefit of the Secured Parties against (i) any Collateral that is disposed of by an Obligor or any of its Subsidiaries in an Asset Sale permitted by the Notes Documents (including pursuant to a valid waiver or consent), (ii) any property subject to a Lien described in </w:t>
      </w:r>
      <w:r>
        <w:rPr>
          <w:rFonts w:ascii="Times New Roman" w:hAnsi="Times New Roman"/>
          <w:b/>
          <w:sz w:val="20"/>
        </w:rPr>
        <w:t>Section</w:t>
      </w:r>
      <w:r>
        <w:rPr>
          <w:rFonts w:ascii="Times New Roman" w:hAnsi="Times New Roman"/>
          <w:sz w:val="20"/>
        </w:rPr>
        <w:t> </w:t>
      </w:r>
      <w:r>
        <w:rPr>
          <w:rFonts w:ascii="Times New Roman" w:hAnsi="Times New Roman"/>
          <w:b/>
          <w:sz w:val="20"/>
        </w:rPr>
        <w:t>9.02(c)</w:t>
      </w:r>
      <w:r>
        <w:rPr>
          <w:rFonts w:ascii="Times New Roman" w:hAnsi="Times New Roman"/>
          <w:sz w:val="20"/>
        </w:rPr>
        <w:t xml:space="preserve"> and (iii) all of the Collateral and all Obligors, upon (w) termination of the Commitments, (x) payment and satisfaction in full of the Notes and all other Obligations (other than inchoate indemnification and expense reimbursement obligations for which no Claim has been made) that the Administrative Agent has been notified in writing are then due and payable, (y) deposit of cash collateral with respect to all contingent Obligations, in amounts and on terms and conditions and with parties satisfactory to the Administrative Agent and each Indemnified Party that is owed such Obligations and (z) to the extent requested by the Administrative Agent, receipt by the Secured Parties of liability releases from the Obligors each in form and substance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Each Noteholder hereby directs the Administrative Agent, and the Administrative Agent hereby agrees, upon receipt of reasonable advance notice from the Issuer, to execute and deliver or file such documents and to perform other actions reasonably necessary to release the guarantees and Liens when and as directed in this </w:t>
      </w:r>
      <w:r>
        <w:rPr>
          <w:rFonts w:ascii="Times New Roman" w:hAnsi="Times New Roman"/>
          <w:b/>
          <w:sz w:val="20"/>
        </w:rPr>
        <w:t>Section</w:t>
      </w:r>
      <w:r>
        <w:rPr>
          <w:rFonts w:ascii="Times New Roman" w:hAnsi="Times New Roman"/>
          <w:sz w:val="20"/>
        </w:rPr>
        <w:t> </w:t>
      </w:r>
      <w:r>
        <w:rPr>
          <w:rFonts w:ascii="Times New Roman" w:hAnsi="Times New Roman"/>
          <w:b/>
          <w:sz w:val="20"/>
        </w:rPr>
        <w:t>12.10</w:t>
      </w:r>
      <w:r>
        <w:rPr>
          <w:rFonts w:ascii="Times New Roman" w:hAnsi="Times New Roman"/>
          <w:sz w:val="20"/>
        </w:rPr>
        <w:t xml:space="preserve"> and deliver to the Issuer, at the expense of the Issuer, any portion of such Collateral so released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12.10</w:t>
      </w:r>
      <w:r>
        <w:rPr>
          <w:rFonts w:ascii="Times New Roman" w:hAnsi="Times New Roman"/>
          <w:sz w:val="20"/>
        </w:rPr>
        <w:t xml:space="preserve"> that is in possession of the Administrative Agent. In addition, in connection with any Permitted Licenses, each Noteholder hereby authorizes Administrative Agent to, and at the request of the Issuer, the Administrative Agent shall, negotiate and enter into a non-disturbance agreement and other similar agreements in form and substance reasonably satisfactory to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or anything to the contrary herein, (i) the release of any Obligor from its guaranty of any Obligations under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12.10 </w:t>
      </w:r>
      <w:r>
        <w:rPr>
          <w:rFonts w:ascii="Times New Roman" w:hAnsi="Times New Roman"/>
          <w:sz w:val="20"/>
        </w:rPr>
        <w:t xml:space="preserve">or otherwise hereunder shall only be permitted if any such permitted transaction or series of related transactions is not consummated for the primary purpose of effecting a release of such Obligor from its Obligations under the Notes Documents in accordance with the terms hereof, and (ii) the Administrative Agent may not effect a release of any Obligor that ceases to be an Obligor due solely to a disposition of Equity Interests in (or issuance of Equity Interests by) such Obligor, unless in the case of this clause (ii) the transaction related to such release is a disposition of Equity Interests for fair market value to an unaffiliated third party and for a bona fide primary business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12.11</w:t>
      </w:r>
      <w:r>
        <w:rPr>
          <w:rFonts w:ascii="Times New Roman" w:hAnsi="Times New Roman"/>
          <w:sz w:val="20"/>
        </w:rPr>
        <w:t xml:space="preserve"> </w:t>
      </w:r>
      <w:r>
        <w:rPr>
          <w:rFonts w:ascii="Times New Roman" w:hAnsi="Times New Roman"/>
          <w:b/>
          <w:sz w:val="20"/>
        </w:rPr>
        <w:t>Additional Secured Parties</w:t>
      </w:r>
      <w:r>
        <w:rPr>
          <w:rFonts w:ascii="Times New Roman" w:hAnsi="Times New Roman"/>
          <w:sz w:val="20"/>
        </w:rPr>
        <w:t xml:space="preserve">. The benefit of the provisions of the Notes Documents directly relating to the Collateral or any Lien granted thereunder shall extend to and be available to any Secured Party that is not a Noteholder so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and the decisions and actions of the Administrative Agent and the Majority Noteholders (or, where expressly required by the terms of this Agreement, a greater proportion of the Noteholders) to the same extent a Noteholder is bound; </w:t>
      </w:r>
      <w:r>
        <w:rPr>
          <w:rFonts w:ascii="Times New Roman" w:hAnsi="Times New Roman"/>
          <w:sz w:val="20"/>
          <w:u w:val="single"/>
        </w:rPr>
        <w:t>provided</w:t>
      </w:r>
      <w:r>
        <w:rPr>
          <w:rFonts w:ascii="Times New Roman" w:hAnsi="Times New Roman"/>
          <w:sz w:val="20"/>
        </w:rPr>
        <w:t xml:space="preserve"> that, notwithstanding the foregoing, (i) such Secured Party shall be bound by </w:t>
      </w:r>
      <w:r>
        <w:rPr>
          <w:rFonts w:ascii="Times New Roman" w:hAnsi="Times New Roman"/>
          <w:b/>
          <w:sz w:val="20"/>
        </w:rPr>
        <w:t>Section</w:t>
      </w:r>
      <w:r>
        <w:rPr>
          <w:rFonts w:ascii="Times New Roman" w:hAnsi="Times New Roman"/>
          <w:sz w:val="20"/>
        </w:rPr>
        <w:t> </w:t>
      </w:r>
      <w:r>
        <w:rPr>
          <w:rFonts w:ascii="Times New Roman" w:hAnsi="Times New Roman"/>
          <w:b/>
          <w:sz w:val="20"/>
        </w:rPr>
        <w:t>12.08</w:t>
      </w:r>
      <w:r>
        <w:rPr>
          <w:rFonts w:ascii="Times New Roman" w:hAnsi="Times New Roman"/>
          <w:sz w:val="20"/>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Noteholder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Notes Document. </w:t>
      </w:r>
    </w:p>
    <w:p>
      <w:pPr>
        <w:pStyle w:val="TextBody"/>
        <w:bidi w:val="0"/>
        <w:spacing w:before="120" w:after="0"/>
        <w:jc w:val="left"/>
        <w:rPr>
          <w:rFonts w:ascii="Times New Roman" w:hAnsi="Times New Roman"/>
          <w:sz w:val="20"/>
        </w:rPr>
      </w:pPr>
      <w:r>
        <w:rPr>
          <w:rFonts w:ascii="Times New Roman" w:hAnsi="Times New Roman"/>
          <w:b/>
          <w:sz w:val="20"/>
        </w:rPr>
        <w:t>12.12</w:t>
      </w:r>
      <w:r>
        <w:rPr>
          <w:rFonts w:ascii="Times New Roman" w:hAnsi="Times New Roman"/>
          <w:sz w:val="20"/>
        </w:rPr>
        <w:t xml:space="preserve"> </w:t>
      </w:r>
      <w:r>
        <w:rPr>
          <w:rFonts w:ascii="Times New Roman" w:hAnsi="Times New Roman"/>
          <w:b/>
          <w:sz w:val="20"/>
        </w:rPr>
        <w:t>Agent May File Proofs of Claim</w:t>
      </w:r>
      <w:r>
        <w:rPr>
          <w:rFonts w:ascii="Times New Roman" w:hAnsi="Times New Roman"/>
          <w:sz w:val="20"/>
        </w:rPr>
        <w:t xml:space="preserve">. In case of the pendency of any Insolvency Proceeding or any other judicial proceeding relating to any Obligor, the Administrative Agent (irrespective of whether the principal of any Note shall then be due and payable as herein expressed or by declaration or otherwise and irrespective of whether the Administrative Agent shall have made any demand on the Issuer or any other Obligor) shall be entitled and empowered (but not obligated) by intervention or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Notes and all other Obligations that are owing and unpaid and to file such other documents as may be necessary or advisable in order to have the claims of the Noteholders and the Administrative Agent (including any claim for the reasonable compensation, expenses, disbursements and advances of the Noteholders and the Administrative Agent and their respective agents and counsel and all other amounts due the Noteholders and the Administrative Agent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Noteholder to make such payments to the Administrative Agent and, in the event that the Administrative Agent shall consent to the making of such payments directly to the Noteholders,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13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 </w:t>
      </w:r>
    </w:p>
    <w:p>
      <w:pPr>
        <w:pStyle w:val="TextBody"/>
        <w:bidi w:val="0"/>
        <w:spacing w:before="240" w:after="0"/>
        <w:jc w:val="left"/>
        <w:rPr>
          <w:rFonts w:ascii="Times New Roman" w:hAnsi="Times New Roman"/>
          <w:sz w:val="20"/>
        </w:rPr>
      </w:pPr>
      <w:r>
        <w:rPr>
          <w:rFonts w:ascii="Times New Roman" w:hAnsi="Times New Roman"/>
          <w:b/>
          <w:sz w:val="20"/>
        </w:rPr>
        <w:t>13.01</w:t>
      </w:r>
      <w:r>
        <w:rPr>
          <w:rFonts w:ascii="Times New Roman" w:hAnsi="Times New Roman"/>
          <w:sz w:val="20"/>
        </w:rPr>
        <w:t xml:space="preserve"> </w:t>
      </w:r>
      <w:r>
        <w:rPr>
          <w:rFonts w:ascii="Times New Roman" w:hAnsi="Times New Roman"/>
          <w:b/>
          <w:sz w:val="20"/>
        </w:rPr>
        <w:t>The Guarantee</w:t>
      </w:r>
      <w:r>
        <w:rPr>
          <w:rFonts w:ascii="Times New Roman" w:hAnsi="Times New Roman"/>
          <w:sz w:val="20"/>
        </w:rPr>
        <w:t>. Each Guarantor hereby jointly and severally guarantee to the Administrative Agent and the Noteholders, and their successors and assigns, as primary obligor and not merely as surety, the prompt payment and performance in full when due (whether at stated maturity, by acceleration or otherwise) of the principal of and interest on the Notes, all fees and other amounts and other Obligations from time to time owing to the Administrative Agent and the Noteholders by the Issuer and each other Obligor under this Agreement or under any other Notes Document, in each case strictly in accordance with the terms hereof and thereof (such obligations being herein collectively called the “</w:t>
      </w:r>
      <w:r>
        <w:rPr>
          <w:rFonts w:ascii="Times New Roman" w:hAnsi="Times New Roman"/>
          <w:b/>
          <w:i/>
          <w:sz w:val="20"/>
        </w:rPr>
        <w:t>Guaranteed Obligations</w:t>
      </w:r>
      <w:r>
        <w:rPr>
          <w:rFonts w:ascii="Times New Roman" w:hAnsi="Times New Roman"/>
          <w:sz w:val="20"/>
        </w:rPr>
        <w:t xml:space="preserve">”). The Guarantors hereby further jointly and severally agree that if the Issuer or any other Obligor shall fail to pay in full when due (whether at stated maturity, by acceleration or otherwise) or perform any of the Guaranteed Obligations, the Guarantors shall promptly pay or perform the same, without any demand or notice whatsoever, and that in the case of any extension of time of payment, renewal of or increase in any of the Guaranteed Obligations, the same shall be promptly paid in full when due (whether at extended maturity, by acceleration or otherwise) in accordance with the terms of such extension, renewal or increase. </w:t>
      </w:r>
    </w:p>
    <w:p>
      <w:pPr>
        <w:pStyle w:val="TextBody"/>
        <w:bidi w:val="0"/>
        <w:spacing w:before="120" w:after="0"/>
        <w:jc w:val="left"/>
        <w:rPr>
          <w:rFonts w:ascii="Times New Roman" w:hAnsi="Times New Roman"/>
          <w:sz w:val="20"/>
        </w:rPr>
      </w:pPr>
      <w:r>
        <w:rPr>
          <w:rFonts w:ascii="Times New Roman" w:hAnsi="Times New Roman"/>
          <w:b/>
          <w:sz w:val="20"/>
        </w:rPr>
        <w:t>13.02</w:t>
      </w:r>
      <w:r>
        <w:rPr>
          <w:rFonts w:ascii="Times New Roman" w:hAnsi="Times New Roman"/>
          <w:sz w:val="20"/>
        </w:rPr>
        <w:t xml:space="preserve"> </w:t>
      </w:r>
      <w:r>
        <w:rPr>
          <w:rFonts w:ascii="Times New Roman" w:hAnsi="Times New Roman"/>
          <w:b/>
          <w:sz w:val="20"/>
        </w:rPr>
        <w:t>Obligations Unconditional</w:t>
      </w:r>
      <w:r>
        <w:rPr>
          <w:rFonts w:ascii="Times New Roman" w:hAnsi="Times New Roman"/>
          <w:sz w:val="20"/>
        </w:rPr>
        <w:t xml:space="preserve">. The obligations of the Guarantors under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shall constitute a guaranty of payment and performance and not of collection and are absolute and unconditional, joint and several, irrespective of the value, genuineness, validity, regularity or enforceability of the obligations of the Issuer or any other Obligor under this Agreement, any other Note Document or any other agreement or instrument referred to herein or with respect to the Collateral, if any, securing the Guaranteed Obligations or any part thereof,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and shall not be subject to any reduction, limitation, impairment, defense, setoff, counterclaim, recoupment or termination for any reason, including any claim of waiver, release, surrender, alteration or compromise, it being the intent of this </w:t>
      </w: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 and each Guarantor hereby waives all rights, claims or defenses to the enforcement hereof by reason of: </w:t>
      </w:r>
    </w:p>
    <w:p>
      <w:pPr>
        <w:pStyle w:val="TextBody"/>
        <w:bidi w:val="0"/>
        <w:spacing w:before="120" w:after="0"/>
        <w:jc w:val="left"/>
        <w:rPr>
          <w:rFonts w:ascii="Times New Roman" w:hAnsi="Times New Roman"/>
          <w:sz w:val="20"/>
        </w:rPr>
      </w:pPr>
      <w:r>
        <w:rPr>
          <w:rFonts w:ascii="Times New Roman" w:hAnsi="Times New Roman"/>
          <w:sz w:val="20"/>
        </w:rPr>
        <w:t xml:space="preserve">(a) at any time or from time to time, without notice to the Guarantors, the time for any performance of or compliance with any of the Guaranteed Obligations shall be extended, or such performance or compliance shall be waived; </w:t>
      </w:r>
    </w:p>
    <w:p>
      <w:pPr>
        <w:pStyle w:val="TextBody"/>
        <w:bidi w:val="0"/>
        <w:spacing w:before="120" w:after="0"/>
        <w:jc w:val="left"/>
        <w:rPr>
          <w:rFonts w:ascii="Times New Roman" w:hAnsi="Times New Roman"/>
          <w:sz w:val="20"/>
        </w:rPr>
      </w:pPr>
      <w:r>
        <w:rPr>
          <w:rFonts w:ascii="Times New Roman" w:hAnsi="Times New Roman"/>
          <w:sz w:val="20"/>
        </w:rPr>
        <w:t xml:space="preserve">(b) any of the acts mentioned in any of the provisions of this Agreement or any other agreement or instrument referred to herein shall be done or omitted; </w:t>
      </w:r>
    </w:p>
    <w:p>
      <w:pPr>
        <w:pStyle w:val="TextBody"/>
        <w:bidi w:val="0"/>
        <w:spacing w:before="120" w:after="0"/>
        <w:jc w:val="left"/>
        <w:rPr>
          <w:rFonts w:ascii="Times New Roman" w:hAnsi="Times New Roman"/>
          <w:sz w:val="20"/>
        </w:rPr>
      </w:pPr>
      <w:r>
        <w:rPr>
          <w:rFonts w:ascii="Times New Roman" w:hAnsi="Times New Roman"/>
          <w:sz w:val="20"/>
        </w:rPr>
        <w:t xml:space="preserve">(c) the maturity of any of the Guaranteed Obligations shall be accelerated, or any of the Guaranteed Obligations shall be modified, supplemented or amended in any respect, including any increase thereof, or any right under this Agreement or any other agreement or instrument referred to herein shall be waived or any other guarantee of any of the Guaranteed Obligations or any security therefor shall be released or exchanged or subordinated or modified in whole or in part or otherwise dealt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lien or security interest granted to, or in favor of, the Secured Parties as security for any of the Guaranteed Obligations shall fail to be valid, perfected or having the priority in accordance with the terms of this Agreement or shall be subject to any avoidance or preference under any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(e) any change, reorganization or termination of the corporate structure or existence of the Issuer, any Guarantor, or any other guarantor of any of the Guaranteed Obligations, or any Insolvency Proceeding or other similar proceeding affecting the Issuer, any Guarantor, or any other guarantor of the Guaranteed Obligations, or any of their respective assets, or any resulting release or discharge of any obligation of the Issuer, any Guarantor, or any other guarantor of any of the Guaranteed Obligations; </w:t>
      </w:r>
    </w:p>
    <w:p>
      <w:pPr>
        <w:pStyle w:val="TextBody"/>
        <w:bidi w:val="0"/>
        <w:spacing w:before="120" w:after="0"/>
        <w:jc w:val="left"/>
        <w:rPr>
          <w:rFonts w:ascii="Times New Roman" w:hAnsi="Times New Roman"/>
          <w:sz w:val="20"/>
        </w:rPr>
      </w:pPr>
      <w:r>
        <w:rPr>
          <w:rFonts w:ascii="Times New Roman" w:hAnsi="Times New Roman"/>
          <w:sz w:val="20"/>
        </w:rPr>
        <w:t xml:space="preserve">(f) the existence of any claim, setoff or other rights which any Guarantor may have at any time against the Issuer, any Guarantor or any other guarantor of any of the Guaranteed Obligations, the Administrative Agent, any Secured Party or any other Person, whether in connection herewith or in connection with any unrelated transactions; </w:t>
      </w:r>
      <w:r>
        <w:rPr>
          <w:rFonts w:ascii="Times New Roman" w:hAnsi="Times New Roman"/>
          <w:sz w:val="20"/>
          <w:u w:val="single"/>
        </w:rPr>
        <w:t>provided</w:t>
      </w:r>
      <w:r>
        <w:rPr>
          <w:rFonts w:ascii="Times New Roman" w:hAnsi="Times New Roman"/>
          <w:sz w:val="20"/>
        </w:rPr>
        <w:t xml:space="preserve"> that, notwithstanding any other provisions in this Guaranty, nothing in this Guaranty shall prevent the assertion of any such claim by separate suit or compulsory counterclaim; or </w:t>
      </w:r>
    </w:p>
    <w:p>
      <w:pPr>
        <w:pStyle w:val="TextBody"/>
        <w:bidi w:val="0"/>
        <w:spacing w:before="120" w:after="0"/>
        <w:jc w:val="left"/>
        <w:rPr>
          <w:rFonts w:ascii="Times New Roman" w:hAnsi="Times New Roman"/>
          <w:sz w:val="20"/>
        </w:rPr>
      </w:pPr>
      <w:r>
        <w:rPr>
          <w:rFonts w:ascii="Times New Roman" w:hAnsi="Times New Roman"/>
          <w:sz w:val="20"/>
        </w:rPr>
        <w:t xml:space="preserve">(g) the disallowance, under any state or federal bankruptcy, insolvency or similar Law, of all or any portion of the claims of the Secured Parties or the Administrative Agent for repayment of all or any part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Guarantors hereby expressly waive diligence, presentment, marshaling, demand of payment, protest and all notices whatsoever, any suretyship defense and any requirement that the Administrative Agent or any Noteholder exhaust any right, power or remedy or proceed against the Issuer or any other Obligor under this Agreement or any other agreement or instrument referred to herein, or against any other Person under any other guarantee of, or security for, any of the Guaranteed Obligations. </w:t>
      </w:r>
    </w:p>
    <w:p>
      <w:pPr>
        <w:pStyle w:val="TextBody"/>
        <w:bidi w:val="0"/>
        <w:spacing w:before="120" w:after="0"/>
        <w:jc w:val="left"/>
        <w:rPr>
          <w:rFonts w:ascii="Times New Roman" w:hAnsi="Times New Roman"/>
          <w:sz w:val="20"/>
        </w:rPr>
      </w:pPr>
      <w:r>
        <w:rPr>
          <w:rFonts w:ascii="Times New Roman" w:hAnsi="Times New Roman"/>
          <w:b/>
          <w:sz w:val="20"/>
        </w:rPr>
        <w:t>13.03</w:t>
      </w:r>
      <w:r>
        <w:rPr>
          <w:rFonts w:ascii="Times New Roman" w:hAnsi="Times New Roman"/>
          <w:sz w:val="20"/>
        </w:rPr>
        <w:t xml:space="preserve"> </w:t>
      </w:r>
      <w:r>
        <w:rPr>
          <w:rFonts w:ascii="Times New Roman" w:hAnsi="Times New Roman"/>
          <w:b/>
          <w:sz w:val="20"/>
        </w:rPr>
        <w:t>Reinstatement</w:t>
      </w:r>
      <w:r>
        <w:rPr>
          <w:rFonts w:ascii="Times New Roman" w:hAnsi="Times New Roman"/>
          <w:sz w:val="20"/>
        </w:rPr>
        <w:t xml:space="preserve">. The obligations of the Guarantors under this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shall be automatically reinstated if and to the extent that for any reason any payment by or on behalf of the Issuer in respect of the Guaranteed Obligations is rescinded or must be otherwise restored by any holder of any of the Guaranteed Obligations, whether as a result of any proceedings in bankruptcy or reorganization or otherwise, and the Guarantors jointly and severally agree that they shall indemnify the Secured Parties on demand for all reasonable costs and expenses (including reasonable and documented fees of counsel) properly incurred by such Persons in connection with such rescission or restoration, including any such costs and expenses properly incurred in defending against any claim alleging that such payment constituted a preference, fraudulent transfer or similar payment under any bankruptcy, insolvency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13.04</w:t>
      </w:r>
      <w:r>
        <w:rPr>
          <w:rFonts w:ascii="Times New Roman" w:hAnsi="Times New Roman"/>
          <w:sz w:val="20"/>
        </w:rPr>
        <w:t xml:space="preserve"> </w:t>
      </w:r>
      <w:r>
        <w:rPr>
          <w:rFonts w:ascii="Times New Roman" w:hAnsi="Times New Roman"/>
          <w:b/>
          <w:sz w:val="20"/>
        </w:rPr>
        <w:t>Subrogation</w:t>
      </w:r>
      <w:r>
        <w:rPr>
          <w:rFonts w:ascii="Times New Roman" w:hAnsi="Times New Roman"/>
          <w:sz w:val="20"/>
        </w:rPr>
        <w:t xml:space="preserve">. The Guarantors hereby jointly and severally agree that, until the payment and satisfaction in full in cash of all Guaranteed Obligations (other than contingent obligations for which no Claim has been asserted) and the expiration and termination of the Commitments, they shall not exercise any right or remedy arising by reason of any performance by them of their guarantee in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whether by subrogation or otherwise, against the Issuer or any other guarantor of any of the Guaranteed Obligations or any security for any of the Guaranteed Obligations. </w:t>
      </w:r>
    </w:p>
    <w:p>
      <w:pPr>
        <w:pStyle w:val="TextBody"/>
        <w:bidi w:val="0"/>
        <w:spacing w:before="120" w:after="0"/>
        <w:jc w:val="left"/>
        <w:rPr>
          <w:rFonts w:ascii="Times New Roman" w:hAnsi="Times New Roman"/>
          <w:sz w:val="20"/>
        </w:rPr>
      </w:pPr>
      <w:r>
        <w:rPr>
          <w:rFonts w:ascii="Times New Roman" w:hAnsi="Times New Roman"/>
          <w:b/>
          <w:sz w:val="20"/>
        </w:rPr>
        <w:t>13.05</w:t>
      </w:r>
      <w:r>
        <w:rPr>
          <w:rFonts w:ascii="Times New Roman" w:hAnsi="Times New Roman"/>
          <w:sz w:val="20"/>
        </w:rPr>
        <w:t xml:space="preserve"> </w:t>
      </w:r>
      <w:r>
        <w:rPr>
          <w:rFonts w:ascii="Times New Roman" w:hAnsi="Times New Roman"/>
          <w:b/>
          <w:sz w:val="20"/>
        </w:rPr>
        <w:t>Remedies</w:t>
      </w:r>
      <w:r>
        <w:rPr>
          <w:rFonts w:ascii="Times New Roman" w:hAnsi="Times New Roman"/>
          <w:sz w:val="20"/>
        </w:rPr>
        <w:t xml:space="preserve">. The Guarantors jointly and severally agree that, as between the Guarantors, on one hand, and the Administrative Agent and the Noteholders, on the other hand, the obligations of the Issuer under this Agreement and under the other Notes Documents may be declared to be forthwith due and payable as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(and shall be deemed to have become automatically due and payable in the circumstances provided in </w:t>
      </w: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notwithstanding any stay, injunction or other prohibition preventing such declaration (or such obligations from becoming automatically due and payable) as against the Issuer and that, in the event of such declaration (or such obligations being deemed to have become automatically due and payable), such obligations (whether or not due and payable by the Issuer) shall forthwith become due and payable by the Guarantors for purposes of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13.06</w:t>
      </w:r>
      <w:r>
        <w:rPr>
          <w:rFonts w:ascii="Times New Roman" w:hAnsi="Times New Roman"/>
          <w:sz w:val="20"/>
        </w:rPr>
        <w:t xml:space="preserve"> </w:t>
      </w:r>
      <w:r>
        <w:rPr>
          <w:rFonts w:ascii="Times New Roman" w:hAnsi="Times New Roman"/>
          <w:b/>
          <w:sz w:val="20"/>
        </w:rPr>
        <w:t>Instrument for the Payment of Money</w:t>
      </w:r>
      <w:r>
        <w:rPr>
          <w:rFonts w:ascii="Times New Roman" w:hAnsi="Times New Roman"/>
          <w:sz w:val="20"/>
        </w:rPr>
        <w:t xml:space="preserve">. Each Guarantor hereby acknowledges that the guarantee in this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constitutes an instrument for the payment of money, and consents and agrees that the Administrative Agent and the Noteholders, at their sole option, in the event of a dispute by such Guarantor in the payment of any moneys due hereunder, shall have the right to proceed by motion for summary judgment in lieu of complaint pursuant to N.Y. Civ. Prac. L&amp;R § 3213. </w:t>
      </w:r>
    </w:p>
    <w:p>
      <w:pPr>
        <w:pStyle w:val="TextBody"/>
        <w:bidi w:val="0"/>
        <w:spacing w:before="120" w:after="0"/>
        <w:jc w:val="left"/>
        <w:rPr>
          <w:rFonts w:ascii="Times New Roman" w:hAnsi="Times New Roman"/>
          <w:sz w:val="20"/>
        </w:rPr>
      </w:pPr>
      <w:r>
        <w:rPr>
          <w:rFonts w:ascii="Times New Roman" w:hAnsi="Times New Roman"/>
          <w:b/>
          <w:sz w:val="20"/>
        </w:rPr>
        <w:t>13.07</w:t>
      </w:r>
      <w:r>
        <w:rPr>
          <w:rFonts w:ascii="Times New Roman" w:hAnsi="Times New Roman"/>
          <w:sz w:val="20"/>
        </w:rPr>
        <w:t xml:space="preserve"> </w:t>
      </w:r>
      <w:r>
        <w:rPr>
          <w:rFonts w:ascii="Times New Roman" w:hAnsi="Times New Roman"/>
          <w:b/>
          <w:sz w:val="20"/>
        </w:rPr>
        <w:t>Continuing Guarantee</w:t>
      </w:r>
      <w:r>
        <w:rPr>
          <w:rFonts w:ascii="Times New Roman" w:hAnsi="Times New Roman"/>
          <w:sz w:val="20"/>
        </w:rPr>
        <w:t xml:space="preserve">. The guarantee in this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is a continuing guarantee, and shall apply to all Guaranteed Obligations whenever arising. </w:t>
      </w:r>
    </w:p>
    <w:p>
      <w:pPr>
        <w:pStyle w:val="TextBody"/>
        <w:bidi w:val="0"/>
        <w:spacing w:before="120" w:after="0"/>
        <w:jc w:val="left"/>
        <w:rPr>
          <w:rFonts w:ascii="Times New Roman" w:hAnsi="Times New Roman"/>
          <w:sz w:val="20"/>
        </w:rPr>
      </w:pPr>
      <w:r>
        <w:rPr>
          <w:rFonts w:ascii="Times New Roman" w:hAnsi="Times New Roman"/>
          <w:b/>
          <w:sz w:val="20"/>
        </w:rPr>
        <w:t>13.08</w:t>
      </w:r>
      <w:r>
        <w:rPr>
          <w:rFonts w:ascii="Times New Roman" w:hAnsi="Times New Roman"/>
          <w:sz w:val="20"/>
        </w:rPr>
        <w:t xml:space="preserve"> </w:t>
      </w:r>
      <w:r>
        <w:rPr>
          <w:rFonts w:ascii="Times New Roman" w:hAnsi="Times New Roman"/>
          <w:b/>
          <w:sz w:val="20"/>
        </w:rPr>
        <w:t>General Limitation on Guarantee Obligations</w:t>
      </w:r>
      <w:r>
        <w:rPr>
          <w:rFonts w:ascii="Times New Roman" w:hAnsi="Times New Roman"/>
          <w:sz w:val="20"/>
        </w:rPr>
        <w:t xml:space="preserve">. In any action or proceeding involving any provincial, territorial or state corporate Law, or any state or federal bankruptcy, insolvency, reorganization or other Law affecting the rights of creditors generally, if the obligations of any Guarantor under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would otherwise be held or determined to be void, invalid or unenforceable, or subordinated to the claims of any other creditors, on account of the amount of its liability under </w:t>
      </w: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then, notwithstanding any other provision hereof to the contrary, the amount of such liability shall, without any further action by such Guarantor, the Administrative Agent, any Noteholder or any other Person, be automatically limited and reduced to the highest amount that is valid and enforceable and not subordinated to the claims of other creditors as determined in such action or proceeding. </w:t>
      </w:r>
    </w:p>
    <w:p>
      <w:pPr>
        <w:pStyle w:val="TextBody"/>
        <w:bidi w:val="0"/>
        <w:spacing w:before="120" w:after="0"/>
        <w:jc w:val="left"/>
        <w:rPr>
          <w:rFonts w:ascii="Times New Roman" w:hAnsi="Times New Roman"/>
          <w:sz w:val="20"/>
        </w:rPr>
      </w:pPr>
      <w:r>
        <w:rPr>
          <w:rFonts w:ascii="Times New Roman" w:hAnsi="Times New Roman"/>
          <w:b/>
          <w:sz w:val="20"/>
        </w:rPr>
        <w:t>13.09</w:t>
      </w:r>
      <w:r>
        <w:rPr>
          <w:rFonts w:ascii="Times New Roman" w:hAnsi="Times New Roman"/>
          <w:sz w:val="20"/>
        </w:rPr>
        <w:t xml:space="preserve"> </w:t>
      </w:r>
      <w:r>
        <w:rPr>
          <w:rFonts w:ascii="Times New Roman" w:hAnsi="Times New Roman"/>
          <w:b/>
          <w:sz w:val="20"/>
        </w:rPr>
        <w:t>UK Guarantee Limitations</w:t>
      </w:r>
      <w:r>
        <w:rPr>
          <w:rFonts w:ascii="Times New Roman" w:hAnsi="Times New Roman"/>
          <w:sz w:val="20"/>
        </w:rPr>
        <w:t xml:space="preserve">. Notwithstanding any other provision of this Agreement, this guarantee and the obligations of each English Guarantor under this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do not apply to any liability to the extent that it would result in this guarantee constituting unlawful financial assistance within the meaning of section 678 of the UK Companies Act 2006 or any equivalent and applicable provisions under the laws of the jurisdiction of incorporation of the relevant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13.10 Limitations on Enforcement for German Guarantors. </w:t>
      </w:r>
    </w:p>
    <w:p>
      <w:pPr>
        <w:pStyle w:val="TextBody"/>
        <w:bidi w:val="0"/>
        <w:spacing w:before="120" w:after="0"/>
        <w:jc w:val="left"/>
        <w:rPr>
          <w:rFonts w:ascii="Times New Roman" w:hAnsi="Times New Roman"/>
          <w:sz w:val="20"/>
        </w:rPr>
      </w:pPr>
      <w:r>
        <w:rPr>
          <w:rFonts w:ascii="Times New Roman" w:hAnsi="Times New Roman"/>
          <w:sz w:val="20"/>
        </w:rPr>
        <w:t>(a) If a German Guarantor is established as a limited liability company (</w:t>
      </w:r>
      <w:r>
        <w:rPr>
          <w:rFonts w:ascii="Times New Roman" w:hAnsi="Times New Roman"/>
          <w:i/>
          <w:sz w:val="20"/>
        </w:rPr>
        <w:t>Gesellschaft mit beschränkter Haftung</w:t>
      </w:r>
      <w:r>
        <w:rPr>
          <w:rFonts w:ascii="Times New Roman" w:hAnsi="Times New Roman"/>
          <w:sz w:val="20"/>
        </w:rPr>
        <w:t xml:space="preserve"> (</w:t>
      </w:r>
      <w:r>
        <w:rPr>
          <w:rFonts w:ascii="Times New Roman" w:hAnsi="Times New Roman"/>
          <w:i/>
          <w:sz w:val="20"/>
        </w:rPr>
        <w:t>GmbH</w:t>
      </w:r>
      <w:r>
        <w:rPr>
          <w:rFonts w:ascii="Times New Roman" w:hAnsi="Times New Roman"/>
          <w:sz w:val="20"/>
        </w:rPr>
        <w:t>)) or a limited partnership (</w:t>
      </w:r>
      <w:r>
        <w:rPr>
          <w:rFonts w:ascii="Times New Roman" w:hAnsi="Times New Roman"/>
          <w:i/>
          <w:sz w:val="20"/>
        </w:rPr>
        <w:t>GmbH</w:t>
      </w:r>
      <w:r>
        <w:rPr>
          <w:rFonts w:ascii="Times New Roman" w:hAnsi="Times New Roman"/>
          <w:sz w:val="20"/>
        </w:rPr>
        <w:t> </w:t>
      </w:r>
      <w:r>
        <w:rPr>
          <w:rFonts w:ascii="Times New Roman" w:hAnsi="Times New Roman"/>
          <w:i/>
          <w:sz w:val="20"/>
        </w:rPr>
        <w:t>&amp; Co. KG</w:t>
      </w:r>
      <w:r>
        <w:rPr>
          <w:rFonts w:ascii="Times New Roman" w:hAnsi="Times New Roman"/>
          <w:sz w:val="20"/>
        </w:rPr>
        <w:t>) with a limited liability company (</w:t>
      </w:r>
      <w:r>
        <w:rPr>
          <w:rFonts w:ascii="Times New Roman" w:hAnsi="Times New Roman"/>
          <w:i/>
          <w:sz w:val="20"/>
        </w:rPr>
        <w:t>GmbH</w:t>
      </w:r>
      <w:r>
        <w:rPr>
          <w:rFonts w:ascii="Times New Roman" w:hAnsi="Times New Roman"/>
          <w:sz w:val="20"/>
        </w:rPr>
        <w:t>) as personally liable partner (</w:t>
      </w:r>
      <w:r>
        <w:rPr>
          <w:rFonts w:ascii="Times New Roman" w:hAnsi="Times New Roman"/>
          <w:i/>
          <w:sz w:val="20"/>
        </w:rPr>
        <w:t>persönlich haftender Gesellschafter</w:t>
      </w:r>
      <w:r>
        <w:rPr>
          <w:rFonts w:ascii="Times New Roman" w:hAnsi="Times New Roman"/>
          <w:sz w:val="20"/>
        </w:rPr>
        <w:t>) (“</w:t>
      </w:r>
      <w:r>
        <w:rPr>
          <w:rFonts w:ascii="Times New Roman" w:hAnsi="Times New Roman"/>
          <w:b/>
          <w:sz w:val="20"/>
        </w:rPr>
        <w:t>PLP</w:t>
      </w:r>
      <w:r>
        <w:rPr>
          <w:rFonts w:ascii="Times New Roman" w:hAnsi="Times New Roman"/>
          <w:sz w:val="20"/>
        </w:rPr>
        <w:t>”) in Germany and guarantees obligations or liabilities (including guarantees, letters of credit or similar instruments) of any of its affiliated companies (</w:t>
      </w:r>
      <w:r>
        <w:rPr>
          <w:rFonts w:ascii="Times New Roman" w:hAnsi="Times New Roman"/>
          <w:i/>
          <w:sz w:val="20"/>
        </w:rPr>
        <w:t>verbundene Unternehmen</w:t>
      </w:r>
      <w:r>
        <w:rPr>
          <w:rFonts w:ascii="Times New Roman" w:hAnsi="Times New Roman"/>
          <w:sz w:val="20"/>
        </w:rPr>
        <w:t>) within the meaning of section 15ff. German Stock Corporation Act (</w:t>
      </w:r>
      <w:r>
        <w:rPr>
          <w:rFonts w:ascii="Times New Roman" w:hAnsi="Times New Roman"/>
          <w:i/>
          <w:sz w:val="20"/>
        </w:rPr>
        <w:t>Aktiengesetz</w:t>
      </w:r>
      <w:r>
        <w:rPr>
          <w:rFonts w:ascii="Times New Roman" w:hAnsi="Times New Roman"/>
          <w:sz w:val="20"/>
        </w:rPr>
        <w:t xml:space="preserve">) that is not a direct or indirect subsidiary of the German Guarantor or its PLP, the Noteholders and the Administrative Agent agree to enforce the guarantee against the relevant German Guarantor or its PLP only to the extent that the granting of or enforcement of this guarantee does not: </w:t>
      </w:r>
    </w:p>
    <w:p>
      <w:pPr>
        <w:pStyle w:val="TextBody"/>
        <w:bidi w:val="0"/>
        <w:spacing w:before="120" w:after="0"/>
        <w:jc w:val="left"/>
        <w:rPr>
          <w:rFonts w:ascii="Times New Roman" w:hAnsi="Times New Roman"/>
          <w:sz w:val="20"/>
        </w:rPr>
      </w:pPr>
      <w:r>
        <w:rPr>
          <w:rFonts w:ascii="Times New Roman" w:hAnsi="Times New Roman"/>
          <w:sz w:val="20"/>
        </w:rPr>
        <w:t>(i) result in a negative balance (</w:t>
      </w:r>
      <w:r>
        <w:rPr>
          <w:rFonts w:ascii="Times New Roman" w:hAnsi="Times New Roman"/>
          <w:i/>
          <w:sz w:val="20"/>
        </w:rPr>
        <w:t>Unterbilanz</w:t>
      </w:r>
      <w:r>
        <w:rPr>
          <w:rFonts w:ascii="Times New Roman" w:hAnsi="Times New Roman"/>
          <w:sz w:val="20"/>
        </w:rPr>
        <w:t>) for the German Guarantor or its PLP, thus reducing the Net Assets (</w:t>
      </w:r>
      <w:r>
        <w:rPr>
          <w:rFonts w:ascii="Times New Roman" w:hAnsi="Times New Roman"/>
          <w:i/>
          <w:sz w:val="20"/>
        </w:rPr>
        <w:t>Reinvermögen</w:t>
      </w:r>
      <w:r>
        <w:rPr>
          <w:rFonts w:ascii="Times New Roman" w:hAnsi="Times New Roman"/>
          <w:sz w:val="20"/>
        </w:rPr>
        <w:t>) of the German Guarantor or its PLP to an amount less than its registered share capital (</w:t>
      </w:r>
      <w:r>
        <w:rPr>
          <w:rFonts w:ascii="Times New Roman" w:hAnsi="Times New Roman"/>
          <w:i/>
          <w:sz w:val="20"/>
        </w:rPr>
        <w:t>Stammkapital</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(ii) if the Net Assets of the German Guarantor or its PLP were already less than the registered share capital, result in its Net Assets (</w:t>
      </w:r>
      <w:r>
        <w:rPr>
          <w:rFonts w:ascii="Times New Roman" w:hAnsi="Times New Roman"/>
          <w:i/>
          <w:sz w:val="20"/>
        </w:rPr>
        <w:t>Reinvermögen</w:t>
      </w:r>
      <w:r>
        <w:rPr>
          <w:rFonts w:ascii="Times New Roman" w:hAnsi="Times New Roman"/>
          <w:sz w:val="20"/>
        </w:rPr>
        <w:t>) being further reduced (</w:t>
      </w:r>
      <w:r>
        <w:rPr>
          <w:rFonts w:ascii="Times New Roman" w:hAnsi="Times New Roman"/>
          <w:i/>
          <w:sz w:val="20"/>
        </w:rPr>
        <w:t>Vertiefung einer Unterbilanz</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the purposes of subsection (a) of this </w:t>
      </w:r>
      <w:r>
        <w:rPr>
          <w:rFonts w:ascii="Times New Roman" w:hAnsi="Times New Roman"/>
          <w:sz w:val="20"/>
          <w:u w:val="single"/>
        </w:rPr>
        <w:t>Section 13.10</w:t>
      </w:r>
      <w:r>
        <w:rPr>
          <w:rFonts w:ascii="Times New Roman" w:hAnsi="Times New Roman"/>
          <w:sz w:val="20"/>
        </w:rPr>
        <w:t xml:space="preserve"> “</w:t>
      </w:r>
      <w:r>
        <w:rPr>
          <w:rFonts w:ascii="Times New Roman" w:hAnsi="Times New Roman"/>
          <w:b/>
          <w:sz w:val="20"/>
        </w:rPr>
        <w:t>Net Assets</w:t>
      </w:r>
      <w:r>
        <w:rPr>
          <w:rFonts w:ascii="Times New Roman" w:hAnsi="Times New Roman"/>
          <w:sz w:val="20"/>
        </w:rPr>
        <w:t>” (</w:t>
      </w:r>
      <w:r>
        <w:rPr>
          <w:rFonts w:ascii="Times New Roman" w:hAnsi="Times New Roman"/>
          <w:i/>
          <w:sz w:val="20"/>
        </w:rPr>
        <w:t>Reinvermögen</w:t>
      </w:r>
      <w:r>
        <w:rPr>
          <w:rFonts w:ascii="Times New Roman" w:hAnsi="Times New Roman"/>
          <w:sz w:val="20"/>
        </w:rPr>
        <w:t>) means the assets calculated on the basis of the balance sheet items listed in sections 266 para. 2 A, B (in deviation from section 272 para. 1 German Commercial Code (</w:t>
      </w:r>
      <w:r>
        <w:rPr>
          <w:rFonts w:ascii="Times New Roman" w:hAnsi="Times New Roman"/>
          <w:i/>
          <w:sz w:val="20"/>
        </w:rPr>
        <w:t>HGB</w:t>
      </w:r>
      <w:r>
        <w:rPr>
          <w:rFonts w:ascii="Times New Roman" w:hAnsi="Times New Roman"/>
          <w:sz w:val="20"/>
        </w:rPr>
        <w:t>) including not yet called outstanding contributions (</w:t>
      </w:r>
      <w:r>
        <w:rPr>
          <w:rFonts w:ascii="Times New Roman" w:hAnsi="Times New Roman"/>
          <w:i/>
          <w:sz w:val="20"/>
        </w:rPr>
        <w:t>nicht eingeforderte ausstehende Einlagen</w:t>
      </w:r>
      <w:r>
        <w:rPr>
          <w:rFonts w:ascii="Times New Roman" w:hAnsi="Times New Roman"/>
          <w:sz w:val="20"/>
        </w:rPr>
        <w:t>)), C, D and E German Commercial Code (</w:t>
      </w:r>
      <w:r>
        <w:rPr>
          <w:rFonts w:ascii="Times New Roman" w:hAnsi="Times New Roman"/>
          <w:i/>
          <w:sz w:val="20"/>
        </w:rPr>
        <w:t>HGB</w:t>
      </w:r>
      <w:r>
        <w:rPr>
          <w:rFonts w:ascii="Times New Roman" w:hAnsi="Times New Roman"/>
          <w:sz w:val="20"/>
        </w:rPr>
        <w:t>) less all liabilities listed in section 266 para. 3 B, C, D and E German Commercial Code (</w:t>
      </w:r>
      <w:r>
        <w:rPr>
          <w:rFonts w:ascii="Times New Roman" w:hAnsi="Times New Roman"/>
          <w:i/>
          <w:sz w:val="20"/>
        </w:rPr>
        <w:t>HGB</w:t>
      </w:r>
      <w:r>
        <w:rPr>
          <w:rFonts w:ascii="Times New Roman" w:hAnsi="Times New Roman"/>
          <w:sz w:val="20"/>
        </w:rPr>
        <w:t>) (but without taking reserves and liabilities in connection with the guarantee into account) and less such amounts being subject to a distribution barrier (</w:t>
      </w:r>
      <w:r>
        <w:rPr>
          <w:rFonts w:ascii="Times New Roman" w:hAnsi="Times New Roman"/>
          <w:i/>
          <w:sz w:val="20"/>
        </w:rPr>
        <w:t>Ausschüttungssperre</w:t>
      </w:r>
      <w:r>
        <w:rPr>
          <w:rFonts w:ascii="Times New Roman" w:hAnsi="Times New Roman"/>
          <w:sz w:val="20"/>
        </w:rPr>
        <w:t>) pursuant to section 268 para. 8 German Commercial Code (</w:t>
      </w:r>
      <w:r>
        <w:rPr>
          <w:rFonts w:ascii="Times New Roman" w:hAnsi="Times New Roman"/>
          <w:i/>
          <w:sz w:val="20"/>
        </w:rPr>
        <w:t>HGB</w:t>
      </w:r>
      <w:r>
        <w:rPr>
          <w:rFonts w:ascii="Times New Roman" w:hAnsi="Times New Roman"/>
          <w:sz w:val="20"/>
        </w:rPr>
        <w:t>), pursuant to section 253 para. 6 German Commercial Code (</w:t>
      </w:r>
      <w:r>
        <w:rPr>
          <w:rFonts w:ascii="Times New Roman" w:hAnsi="Times New Roman"/>
          <w:i/>
          <w:sz w:val="20"/>
        </w:rPr>
        <w:t>HGB</w:t>
      </w:r>
      <w:r>
        <w:rPr>
          <w:rFonts w:ascii="Times New Roman" w:hAnsi="Times New Roman"/>
          <w:sz w:val="20"/>
        </w:rPr>
        <w:t>) or pursuant to section 272 para. 5 German Commercial Code (</w:t>
      </w:r>
      <w:r>
        <w:rPr>
          <w:rFonts w:ascii="Times New Roman" w:hAnsi="Times New Roman"/>
          <w:i/>
          <w:sz w:val="20"/>
        </w:rPr>
        <w:t>HGB</w:t>
      </w:r>
      <w:r>
        <w:rPr>
          <w:rFonts w:ascii="Times New Roman" w:hAnsi="Times New Roman"/>
          <w:sz w:val="20"/>
        </w:rPr>
        <w:t>), any deviating specifications made by the German Federal Court of Justice (</w:t>
      </w:r>
      <w:r>
        <w:rPr>
          <w:rFonts w:ascii="Times New Roman" w:hAnsi="Times New Roman"/>
          <w:i/>
          <w:sz w:val="20"/>
        </w:rPr>
        <w:t>Bundesgerichtshof</w:t>
      </w:r>
      <w:r>
        <w:rPr>
          <w:rFonts w:ascii="Times New Roman" w:hAnsi="Times New Roman"/>
          <w:sz w:val="20"/>
        </w:rPr>
        <w:t xml:space="preserve">) for the calculation of the Net Assets to be taken into account but the following balance sheet items to be disregarded: </w:t>
      </w:r>
    </w:p>
    <w:p>
      <w:pPr>
        <w:pStyle w:val="TextBody"/>
        <w:bidi w:val="0"/>
        <w:spacing w:before="120" w:after="0"/>
        <w:jc w:val="left"/>
        <w:rPr>
          <w:rFonts w:ascii="Times New Roman" w:hAnsi="Times New Roman"/>
          <w:sz w:val="20"/>
        </w:rPr>
      </w:pPr>
      <w:r>
        <w:rPr>
          <w:rFonts w:ascii="Times New Roman" w:hAnsi="Times New Roman"/>
          <w:sz w:val="20"/>
        </w:rPr>
        <w:t>(i) the amount of any increase of the registered share capital (</w:t>
      </w:r>
      <w:r>
        <w:rPr>
          <w:rFonts w:ascii="Times New Roman" w:hAnsi="Times New Roman"/>
          <w:i/>
          <w:sz w:val="20"/>
        </w:rPr>
        <w:t>Erhöhung des Stammkapitals</w:t>
      </w:r>
      <w:r>
        <w:rPr>
          <w:rFonts w:ascii="Times New Roman" w:hAnsi="Times New Roman"/>
          <w:sz w:val="20"/>
        </w:rPr>
        <w:t xml:space="preserve">) of the German Guarantor or its PLP effected after the date hereof (A) that has been effected without the prior written consent of the Noteholders and the Administrative Agent or (B) if effected with the prior written consent of the Noteholders and the Administrative Agent to the extent that it is not fully paid up, shall be deducted from the stated share capital; </w:t>
      </w:r>
    </w:p>
    <w:p>
      <w:pPr>
        <w:pStyle w:val="TextBody"/>
        <w:bidi w:val="0"/>
        <w:spacing w:before="120" w:after="0"/>
        <w:jc w:val="left"/>
        <w:rPr>
          <w:rFonts w:ascii="Times New Roman" w:hAnsi="Times New Roman"/>
          <w:sz w:val="20"/>
        </w:rPr>
      </w:pPr>
      <w:r>
        <w:rPr>
          <w:rFonts w:ascii="Times New Roman" w:hAnsi="Times New Roman"/>
          <w:sz w:val="20"/>
        </w:rPr>
        <w:t xml:space="preserve">(ii) liabilities that were entered into or incurred by the German Guarantor or its PLP and which are not permitted pursuant to the Notes Documents; </w:t>
      </w:r>
    </w:p>
    <w:p>
      <w:pPr>
        <w:pStyle w:val="TextBody"/>
        <w:bidi w:val="0"/>
        <w:spacing w:before="120" w:after="0"/>
        <w:jc w:val="left"/>
        <w:rPr>
          <w:rFonts w:ascii="Times New Roman" w:hAnsi="Times New Roman"/>
          <w:sz w:val="20"/>
        </w:rPr>
      </w:pPr>
      <w:r>
        <w:rPr>
          <w:rFonts w:ascii="Times New Roman" w:hAnsi="Times New Roman"/>
          <w:sz w:val="20"/>
        </w:rPr>
        <w:t>(iii) liabilities of the German Guarantor or its PLP to the extent that such liabilities are subordinated pursuant to section 39 para. 1 no. 5 or section 39 para. 2 German Insolvency Code (</w:t>
      </w:r>
      <w:r>
        <w:rPr>
          <w:rFonts w:ascii="Times New Roman" w:hAnsi="Times New Roman"/>
          <w:i/>
          <w:sz w:val="20"/>
        </w:rPr>
        <w:t>Insolvenzordnung</w:t>
      </w:r>
      <w:r>
        <w:rPr>
          <w:rFonts w:ascii="Times New Roman" w:hAnsi="Times New Roman"/>
          <w:sz w:val="20"/>
        </w:rPr>
        <w:t xml:space="preserve"> (</w:t>
      </w:r>
      <w:r>
        <w:rPr>
          <w:rFonts w:ascii="Times New Roman" w:hAnsi="Times New Roman"/>
          <w:i/>
          <w:sz w:val="20"/>
        </w:rPr>
        <w:t>InsO</w:t>
      </w:r>
      <w:r>
        <w:rPr>
          <w:rFonts w:ascii="Times New Roman" w:hAnsi="Times New Roman"/>
          <w:sz w:val="20"/>
        </w:rPr>
        <w:t xml:space="preserve">)) provided that the creditor of the corresponding receivables could waive such receivables without violating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deviations are required by mandatory law, the relevant Net Assets are to be determined in accordance with generally accepted accounting principles observing the accounting principles applied in the previous years for the creation of the non-consolidated financial statement. </w:t>
      </w:r>
    </w:p>
    <w:p>
      <w:pPr>
        <w:pStyle w:val="TextBody"/>
        <w:bidi w:val="0"/>
        <w:spacing w:before="120" w:after="0"/>
        <w:jc w:val="left"/>
        <w:rPr>
          <w:rFonts w:ascii="Times New Roman" w:hAnsi="Times New Roman"/>
          <w:sz w:val="20"/>
        </w:rPr>
      </w:pPr>
      <w:r>
        <w:rPr>
          <w:rFonts w:ascii="Times New Roman" w:hAnsi="Times New Roman"/>
          <w:sz w:val="20"/>
        </w:rPr>
        <w:t xml:space="preserve">(c) The enforcement of the guarantee pursuant to subsection (a) of this </w:t>
      </w:r>
      <w:r>
        <w:rPr>
          <w:rFonts w:ascii="Times New Roman" w:hAnsi="Times New Roman"/>
          <w:sz w:val="20"/>
          <w:u w:val="single"/>
        </w:rPr>
        <w:t xml:space="preserve">Section </w:t>
      </w:r>
      <w:r>
        <w:rPr>
          <w:rFonts w:ascii="Times New Roman" w:hAnsi="Times New Roman"/>
          <w:sz w:val="20"/>
        </w:rPr>
        <w:t>will only be excluded if and to the extent that no later than thirty (30) Business Days following a written notice of the Administrative Agent to enforce the guarantee (the “</w:t>
      </w:r>
      <w:r>
        <w:rPr>
          <w:rFonts w:ascii="Times New Roman" w:hAnsi="Times New Roman"/>
          <w:b/>
          <w:sz w:val="20"/>
        </w:rPr>
        <w:t>Enforcement Notice</w:t>
      </w:r>
      <w:r>
        <w:rPr>
          <w:rFonts w:ascii="Times New Roman" w:hAnsi="Times New Roman"/>
          <w:sz w:val="20"/>
        </w:rPr>
        <w:t xml:space="preserve">”), the managing directors of the respective German Guarantor or its PLP have submitted to the Administrative Agent an updated balance sheet of the respective German Guarantor or its PLP derived from the latest annual financial statement </w:t>
      </w:r>
      <w:r>
        <w:rPr>
          <w:rFonts w:ascii="Times New Roman" w:hAnsi="Times New Roman"/>
          <w:sz w:val="20"/>
          <w:u w:val="single"/>
        </w:rPr>
        <w:t>together with</w:t>
      </w:r>
      <w:r>
        <w:rPr>
          <w:rFonts w:ascii="Times New Roman" w:hAnsi="Times New Roman"/>
          <w:sz w:val="20"/>
        </w:rPr>
        <w:t xml:space="preserve"> a detailed written calculation based on the date of the receipt of the Enforcement Notice (the “</w:t>
      </w:r>
      <w:r>
        <w:rPr>
          <w:rFonts w:ascii="Times New Roman" w:hAnsi="Times New Roman"/>
          <w:b/>
          <w:sz w:val="20"/>
        </w:rPr>
        <w:t>Management Calculation</w:t>
      </w:r>
      <w:r>
        <w:rPr>
          <w:rFonts w:ascii="Times New Roman" w:hAnsi="Times New Roman"/>
          <w:sz w:val="20"/>
        </w:rPr>
        <w:t xml:space="preserve">”) confirming to their best knowledge to what extent the enforcement taking the actions to be taken pursuant to subsection (g) of this </w:t>
      </w:r>
      <w:r>
        <w:rPr>
          <w:rFonts w:ascii="Times New Roman" w:hAnsi="Times New Roman"/>
          <w:sz w:val="20"/>
          <w:u w:val="single"/>
        </w:rPr>
        <w:t xml:space="preserve">Section 13.10 </w:t>
      </w:r>
      <w:r>
        <w:rPr>
          <w:rFonts w:ascii="Times New Roman" w:hAnsi="Times New Roman"/>
          <w:sz w:val="20"/>
        </w:rPr>
        <w:t xml:space="preserve">into account would cause the Net Assets of the respective German Guarantor or its PLP (i) to be less than its registered share capital or (ii) to fall even lower than the already existing negative balance.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is entitled to enforce the guarantee against the respective German Guarantor or its PLP in such an amount that is undisputed according to the Management Calculation and the respective German Guarantor or its PLP is obliged to pay such undisputed amount to the Noteholders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With regard to the disputed amount, the respective German Guarantor or its PLP must submit to the Administrative Agent within thirty (30) Business Days after the Administrative Agent has partly or totally rejected the calculation in the Management Calculation a determination prepared by auditors of international standard and reputation (or otherwise accepted by the Administrative Agent) appointed (in coordination with the Administrative Agent) by and at the costs of the German Guarantor confirming to what extent the guarantee can be enforced against the respective German Guarantor or its PLP pursuant to subsection (a) and (b) of this </w:t>
      </w:r>
      <w:r>
        <w:rPr>
          <w:rFonts w:ascii="Times New Roman" w:hAnsi="Times New Roman"/>
          <w:sz w:val="20"/>
          <w:u w:val="single"/>
        </w:rPr>
        <w:t>Section 13.10</w:t>
      </w:r>
      <w:r>
        <w:rPr>
          <w:rFonts w:ascii="Times New Roman" w:hAnsi="Times New Roman"/>
          <w:sz w:val="20"/>
        </w:rPr>
        <w:t xml:space="preserve"> (the “</w:t>
      </w:r>
      <w:r>
        <w:rPr>
          <w:rFonts w:ascii="Times New Roman" w:hAnsi="Times New Roman"/>
          <w:b/>
          <w:sz w:val="20"/>
        </w:rPr>
        <w:t>Auditors’ Determination</w:t>
      </w:r>
      <w:r>
        <w:rPr>
          <w:rFonts w:ascii="Times New Roman" w:hAnsi="Times New Roman"/>
          <w:sz w:val="20"/>
        </w:rPr>
        <w:t xml:space="preserve">”). The Auditors’ Determination has to refer to a recent balance sheet of the respective German Guarantor or its PLP. The calculation of the Auditors’ Determination is final and binding upon the parties, except for obvious mistakes. If the Auditors’ Determination is not be submitted within the stipulated time period, the Administrative Agent is initially (and subject to subsection (e) of this </w:t>
      </w:r>
      <w:r>
        <w:rPr>
          <w:rFonts w:ascii="Times New Roman" w:hAnsi="Times New Roman"/>
          <w:sz w:val="20"/>
          <w:u w:val="single"/>
        </w:rPr>
        <w:t>Section 13.10</w:t>
      </w:r>
      <w:r>
        <w:rPr>
          <w:rFonts w:ascii="Times New Roman" w:hAnsi="Times New Roman"/>
          <w:sz w:val="20"/>
        </w:rPr>
        <w:t xml:space="preserve">) entitled to enforce the guarantee against the German Guarantor or its PLP in full. </w:t>
      </w:r>
    </w:p>
    <w:p>
      <w:pPr>
        <w:pStyle w:val="TextBody"/>
        <w:bidi w:val="0"/>
        <w:spacing w:before="120" w:after="0"/>
        <w:jc w:val="left"/>
        <w:rPr>
          <w:rFonts w:ascii="Times New Roman" w:hAnsi="Times New Roman"/>
          <w:sz w:val="20"/>
        </w:rPr>
      </w:pPr>
      <w:r>
        <w:rPr>
          <w:rFonts w:ascii="Times New Roman" w:hAnsi="Times New Roman"/>
          <w:sz w:val="20"/>
        </w:rPr>
        <w:t xml:space="preserve">If according to the Auditors’ Determination the guarantee could have been enforced against the respective German Guarantor or its PLP in a higher amount the Agent is entitled to enforce the guarantee in such amount. </w:t>
      </w:r>
    </w:p>
    <w:p>
      <w:pPr>
        <w:pStyle w:val="TextBody"/>
        <w:bidi w:val="0"/>
        <w:spacing w:before="120" w:after="0"/>
        <w:jc w:val="left"/>
        <w:rPr>
          <w:rFonts w:ascii="Times New Roman" w:hAnsi="Times New Roman"/>
          <w:sz w:val="20"/>
        </w:rPr>
      </w:pPr>
      <w:r>
        <w:rPr>
          <w:rFonts w:ascii="Times New Roman" w:hAnsi="Times New Roman"/>
          <w:sz w:val="20"/>
        </w:rPr>
        <w:t xml:space="preserve">(e) Provided that the guarantee cannot be fully enforced against the respective German Guarantor or its PLP due to the aforementioned provisions the respective German Guarantor or its PLP is obliged (to the extent legally permitted and necessary to enable the Noteholders and the Administrative Agent to enforce the guarantee in full or with less limitations): </w:t>
      </w:r>
    </w:p>
    <w:p>
      <w:pPr>
        <w:pStyle w:val="TextBody"/>
        <w:bidi w:val="0"/>
        <w:spacing w:before="120" w:after="0"/>
        <w:jc w:val="left"/>
        <w:rPr>
          <w:rFonts w:ascii="Times New Roman" w:hAnsi="Times New Roman"/>
          <w:sz w:val="20"/>
        </w:rPr>
      </w:pPr>
      <w:r>
        <w:rPr>
          <w:rFonts w:ascii="Times New Roman" w:hAnsi="Times New Roman"/>
          <w:sz w:val="20"/>
        </w:rPr>
        <w:t xml:space="preserve">(i) to sell any asset that is not necessary for operation of the business and whose book value is significantly lower than its market value without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 respect to assets necessary for operation of business, to realise any hidden reserves in any other way; </w:t>
      </w:r>
    </w:p>
    <w:p>
      <w:pPr>
        <w:pStyle w:val="TextBody"/>
        <w:bidi w:val="0"/>
        <w:spacing w:before="120" w:after="0"/>
        <w:jc w:val="left"/>
        <w:rPr>
          <w:rFonts w:ascii="Times New Roman" w:hAnsi="Times New Roman"/>
          <w:sz w:val="20"/>
        </w:rPr>
      </w:pPr>
      <w:r>
        <w:rPr>
          <w:rFonts w:ascii="Times New Roman" w:hAnsi="Times New Roman"/>
          <w:sz w:val="20"/>
        </w:rPr>
        <w:t xml:space="preserve">(iii) to take any other reasonable actions to ensure that the guarantee can be enforced to the fullest possible extent.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German Guarantor or its PLP will inform the Administrative Agent without delay of the amount of the proceeds from the sale and the book value of the respective assets or of the hidden reserves otherwise disclosed. </w:t>
      </w:r>
    </w:p>
    <w:p>
      <w:pPr>
        <w:pStyle w:val="TextBody"/>
        <w:bidi w:val="0"/>
        <w:spacing w:before="120" w:after="0"/>
        <w:jc w:val="left"/>
        <w:rPr>
          <w:rFonts w:ascii="Times New Roman" w:hAnsi="Times New Roman"/>
          <w:sz w:val="20"/>
        </w:rPr>
      </w:pPr>
      <w:r>
        <w:rPr>
          <w:rFonts w:ascii="Times New Roman" w:hAnsi="Times New Roman"/>
          <w:sz w:val="20"/>
        </w:rPr>
        <w:t xml:space="preserve">(f) The restrictions pursuant to subsection (a) of this </w:t>
      </w:r>
      <w:r>
        <w:rPr>
          <w:rFonts w:ascii="Times New Roman" w:hAnsi="Times New Roman"/>
          <w:sz w:val="20"/>
          <w:u w:val="single"/>
        </w:rPr>
        <w:t xml:space="preserve">Section 13.10 </w:t>
      </w:r>
      <w:r>
        <w:rPr>
          <w:rFonts w:ascii="Times New Roman" w:hAnsi="Times New Roman"/>
          <w:sz w:val="20"/>
        </w:rPr>
        <w:t xml:space="preserve">above do not apply to the extent that: </w:t>
      </w:r>
    </w:p>
    <w:p>
      <w:pPr>
        <w:pStyle w:val="TextBody"/>
        <w:bidi w:val="0"/>
        <w:spacing w:before="120" w:after="0"/>
        <w:jc w:val="left"/>
        <w:rPr>
          <w:rFonts w:ascii="Times New Roman" w:hAnsi="Times New Roman"/>
          <w:sz w:val="20"/>
        </w:rPr>
      </w:pPr>
      <w:r>
        <w:rPr>
          <w:rFonts w:ascii="Times New Roman" w:hAnsi="Times New Roman"/>
          <w:sz w:val="20"/>
        </w:rPr>
        <w:t xml:space="preserve">(i) the guarantee is enforced against the relevant German Guarantor with regard to an amount that the relevant German Guarantor, its PLP, or its subsidiaries has utilised as Borrower under the Notes Agreement. </w:t>
      </w:r>
    </w:p>
    <w:p>
      <w:pPr>
        <w:pStyle w:val="TextBody"/>
        <w:bidi w:val="0"/>
        <w:spacing w:before="120" w:after="0"/>
        <w:jc w:val="left"/>
        <w:rPr>
          <w:rFonts w:ascii="Times New Roman" w:hAnsi="Times New Roman"/>
          <w:sz w:val="20"/>
        </w:rPr>
      </w:pPr>
      <w:r>
        <w:rPr>
          <w:rFonts w:ascii="Times New Roman" w:hAnsi="Times New Roman"/>
          <w:sz w:val="20"/>
        </w:rPr>
        <w:t>(ii) the guarantee is granted in relation to amounts (not yet repaid) being on-lent or otherwise passed on to the respective German Guarantor or its PLP or its subsidiaries or otherwise be used for their purposes or (ii) in relation to liabilities deriving from letters of credit (</w:t>
      </w:r>
      <w:r>
        <w:rPr>
          <w:rFonts w:ascii="Times New Roman" w:hAnsi="Times New Roman"/>
          <w:i/>
          <w:sz w:val="20"/>
        </w:rPr>
        <w:t>Avale</w:t>
      </w:r>
      <w:r>
        <w:rPr>
          <w:rFonts w:ascii="Times New Roman" w:hAnsi="Times New Roman"/>
          <w:sz w:val="20"/>
        </w:rPr>
        <w:t xml:space="preserve">) issued in order to secure liabilities of the respective German Guarantor or its PLP or their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Furthermore, the restrictions pursuant to subsection (a) of this </w:t>
      </w: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do not apply if the German Guarantor or its PLP concerned is a dependent (</w:t>
      </w:r>
      <w:r>
        <w:rPr>
          <w:rFonts w:ascii="Times New Roman" w:hAnsi="Times New Roman"/>
          <w:i/>
          <w:sz w:val="20"/>
        </w:rPr>
        <w:t>abhängig</w:t>
      </w:r>
      <w:r>
        <w:rPr>
          <w:rFonts w:ascii="Times New Roman" w:hAnsi="Times New Roman"/>
          <w:sz w:val="20"/>
        </w:rPr>
        <w:t>) and/or profit pooling (</w:t>
      </w:r>
      <w:r>
        <w:rPr>
          <w:rFonts w:ascii="Times New Roman" w:hAnsi="Times New Roman"/>
          <w:i/>
          <w:sz w:val="20"/>
        </w:rPr>
        <w:t>gewinnabführend</w:t>
      </w:r>
      <w:r>
        <w:rPr>
          <w:rFonts w:ascii="Times New Roman" w:hAnsi="Times New Roman"/>
          <w:sz w:val="20"/>
        </w:rPr>
        <w:t>) company subject to a domination and/or a profit and loss pooling agreement (</w:t>
      </w:r>
      <w:r>
        <w:rPr>
          <w:rFonts w:ascii="Times New Roman" w:hAnsi="Times New Roman"/>
          <w:i/>
          <w:sz w:val="20"/>
        </w:rPr>
        <w:t>Beherrschungs- und/oder Gewinnabführungsvertrag</w:t>
      </w:r>
      <w:r>
        <w:rPr>
          <w:rFonts w:ascii="Times New Roman" w:hAnsi="Times New Roman"/>
          <w:sz w:val="20"/>
        </w:rPr>
        <w:t>) rendering section 30 para. 1 German Limited Liability Companies Act (</w:t>
      </w:r>
      <w:r>
        <w:rPr>
          <w:rFonts w:ascii="Times New Roman" w:hAnsi="Times New Roman"/>
          <w:i/>
          <w:sz w:val="20"/>
        </w:rPr>
        <w:t>GmbHG</w:t>
      </w:r>
      <w:r>
        <w:rPr>
          <w:rFonts w:ascii="Times New Roman" w:hAnsi="Times New Roman"/>
          <w:sz w:val="20"/>
        </w:rPr>
        <w:t xml:space="preserve">) inapplicable/(directly or through an unbroken chain of domination and/or profit and loss pooling agreements) with the entity whose liabilities are secured or with a direct or indirect shareholder of such entity. </w:t>
      </w:r>
    </w:p>
    <w:p>
      <w:pPr>
        <w:pStyle w:val="TextBody"/>
        <w:bidi w:val="0"/>
        <w:spacing w:before="120" w:after="0"/>
        <w:jc w:val="left"/>
        <w:rPr>
          <w:rFonts w:ascii="Times New Roman" w:hAnsi="Times New Roman"/>
          <w:sz w:val="20"/>
        </w:rPr>
      </w:pPr>
      <w:r>
        <w:rPr>
          <w:rFonts w:ascii="Times New Roman" w:hAnsi="Times New Roman"/>
          <w:sz w:val="20"/>
        </w:rPr>
        <w:t xml:space="preserve">(h) The restrictions set out in this </w:t>
      </w:r>
      <w:r>
        <w:rPr>
          <w:rFonts w:ascii="Times New Roman" w:hAnsi="Times New Roman"/>
          <w:b/>
          <w:sz w:val="20"/>
        </w:rPr>
        <w:t>subsection (a)</w:t>
      </w:r>
      <w:r>
        <w:rPr>
          <w:rFonts w:ascii="Times New Roman" w:hAnsi="Times New Roman"/>
          <w:sz w:val="20"/>
        </w:rPr>
        <w:t xml:space="preserve"> of this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13.10</w:t>
      </w:r>
      <w:r>
        <w:rPr>
          <w:rFonts w:ascii="Times New Roman" w:hAnsi="Times New Roman"/>
          <w:sz w:val="20"/>
        </w:rPr>
        <w:t xml:space="preserve"> do not limit the Administrative Agent’s right to enforce the guarantee again at a later date under the terms of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14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14.01</w:t>
      </w:r>
      <w:r>
        <w:rPr>
          <w:rFonts w:ascii="Times New Roman" w:hAnsi="Times New Roman"/>
          <w:sz w:val="20"/>
        </w:rPr>
        <w:t xml:space="preserve"> </w:t>
      </w:r>
      <w:r>
        <w:rPr>
          <w:rFonts w:ascii="Times New Roman" w:hAnsi="Times New Roman"/>
          <w:b/>
          <w:sz w:val="20"/>
        </w:rPr>
        <w:t>No Waiver</w:t>
      </w:r>
      <w:r>
        <w:rPr>
          <w:rFonts w:ascii="Times New Roman" w:hAnsi="Times New Roman"/>
          <w:sz w:val="20"/>
        </w:rPr>
        <w:t xml:space="preserve">. No failure on the part of the Administrative Agent or the Noteholders to exercise and no delay in exercising, and no course of dealing with respect to, any right, power or privilege under any Notes Document shall operate as a waiver thereof, nor shall any single or partial exercise of any right, power or privilege under any Notes Document preclude any other or further exercise thereof or the exercise of any other right, power or privilege. The remedies provided herein are cumulative and not exclusive of any remedies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14.02 Notices.</w:t>
      </w:r>
      <w:r>
        <w:rPr>
          <w:rFonts w:ascii="Times New Roman" w:hAnsi="Times New Roman"/>
          <w:sz w:val="20"/>
        </w:rPr>
        <w:t xml:space="preserve"> All notices, requests, instructions, directions and other communications provided for herein (including any modifications of, or waivers, requests or consents under, this Agreement) or in the other Notes Documents shall be given or made in writing (including by telecopy or email) delivered, if to the Issuer, another Obligor, the Administrative Agent or any Noteholder,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 Notwithstanding anything to the contrary in this Agreement or any other Notes Document, notices, documents, certificates and other deliverables to the Noteholders by any Obligor may be made solely to the Administrative Agent and the Administrative Agent shall promptly deliver such notices, documents, certificates and other deliverables to the Noteholders. </w:t>
      </w:r>
    </w:p>
    <w:p>
      <w:pPr>
        <w:pStyle w:val="TextBody"/>
        <w:bidi w:val="0"/>
        <w:spacing w:before="120" w:after="0"/>
        <w:jc w:val="left"/>
        <w:rPr>
          <w:rFonts w:ascii="Times New Roman" w:hAnsi="Times New Roman"/>
          <w:b/>
          <w:sz w:val="20"/>
        </w:rPr>
      </w:pPr>
      <w:r>
        <w:rPr>
          <w:rFonts w:ascii="Times New Roman" w:hAnsi="Times New Roman"/>
          <w:b/>
          <w:sz w:val="20"/>
        </w:rPr>
        <w:t xml:space="preserve">14.03 Expenses, Indemnification,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Expenses</w:t>
      </w:r>
      <w:r>
        <w:rPr>
          <w:rFonts w:ascii="Times New Roman" w:hAnsi="Times New Roman"/>
          <w:sz w:val="20"/>
        </w:rPr>
        <w:t xml:space="preserve">. Issuer agrees to pay or reimburse (i) the Administrative Agent and the Noteholders for all of their reasonable and documented out-of-pocket costs and expenses (including the reasonable and documented fees and expenses of counsel to the Administrative Agent, and printing, reproduction, document delivery, communication and travel costs) in connection with (x) the negotiation, preparation, execution and delivery of this Agreement and the other Notes Documents and the issuing of the Notes (exclusive of post-closing costs), (y) post-closing costs and expenses, any amendments, consents, waivers or other modifications, if any) and (z) the negotiation or preparation of any modification, supplement or waiver of any of the terms of this Agreement or any of the other Notes Documents (whether or not consummated), in excess of the Expense Deposit (as defined in the Proposal Letter) and (ii) the Administrative Agent and the Noteholders for all of their reasonable and documented out-of-pocket costs and expenses (including the reasonable and documented fees and expenses of legal counsel) in connection with any enforcement or collection proceedings resulting from the occurrence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Exculpation, Indemnification,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In no event shall any party hereto, any successor, transferee or assignee of any party hereto, or any of their respective Affiliates, directors, officers, employees, attorneys, agents, advisors or controlling parties (each, an “</w:t>
      </w:r>
      <w:r>
        <w:rPr>
          <w:rFonts w:ascii="Times New Roman" w:hAnsi="Times New Roman"/>
          <w:b/>
          <w:i/>
          <w:sz w:val="20"/>
        </w:rPr>
        <w:t>Exculpated Party</w:t>
      </w:r>
      <w:r>
        <w:rPr>
          <w:rFonts w:ascii="Times New Roman" w:hAnsi="Times New Roman"/>
          <w:sz w:val="20"/>
        </w:rPr>
        <w:t xml:space="preserve">”) have any obligation or responsibility for (and the Obligors and the Secured Parties, as applicable, jointly and severally waive any claims they may have in respect of) any Loss, on any theory of liability, for consequential, indirect, special or punitive damages arising out of or otherwise relating to this Agreement or any of the other Notes Document or any of the Transactions or the actual or proposed use of the proceeds of the Notes;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b/>
          <w:sz w:val="20"/>
        </w:rPr>
        <w:t>clause (i)</w:t>
      </w:r>
      <w:r>
        <w:rPr>
          <w:rFonts w:ascii="Times New Roman" w:hAnsi="Times New Roman"/>
          <w:sz w:val="20"/>
        </w:rPr>
        <w:t xml:space="preserve"> shall relieve any Obligor of any obligation such Obligor may have to indemnify an Indemnified Party, as provided in </w:t>
      </w:r>
      <w:r>
        <w:rPr>
          <w:rFonts w:ascii="Times New Roman" w:hAnsi="Times New Roman"/>
          <w:b/>
          <w:sz w:val="20"/>
        </w:rPr>
        <w:t>clause (ii)</w:t>
      </w:r>
      <w:r>
        <w:rPr>
          <w:rFonts w:ascii="Times New Roman" w:hAnsi="Times New Roman"/>
          <w:sz w:val="20"/>
        </w:rPr>
        <w:t xml:space="preserve"> below, against any special, indirect, consequential or punitive damages asserted against such Indemnified Party by a third party. Each party hereto agrees, to the fullest extent permitted by applicable Law, that it will not assert, directly or indirectly, any Claim against any Exculpated Party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(Each Obligor, jointly and severally, hereby indemnifies the Administrative Agent, each Noteholder, each of their respective permitted successors, transferees and assigns and each of their respective Affiliates, directors, officers, employees, attorneys, agents, advisors and controlling parties (each, an “</w:t>
      </w:r>
      <w:r>
        <w:rPr>
          <w:rFonts w:ascii="Times New Roman" w:hAnsi="Times New Roman"/>
          <w:b/>
          <w:i/>
          <w:sz w:val="20"/>
        </w:rPr>
        <w:t>Indemnified Party</w:t>
      </w:r>
      <w:r>
        <w:rPr>
          <w:rFonts w:ascii="Times New Roman" w:hAnsi="Times New Roman"/>
          <w:sz w:val="20"/>
        </w:rPr>
        <w:t>”) from and against, and agrees to hold them harmless against, any and all Claims and Losses of any kind (including reasonable fees and disbursements of counsel), joint or several, that may be incurred by or asserted or awarded against any Indemnified Party, in each case arising out of or in connection with or relating to any investigation, litigation or proceeding (each, a “</w:t>
      </w:r>
      <w:r>
        <w:rPr>
          <w:rFonts w:ascii="Times New Roman" w:hAnsi="Times New Roman"/>
          <w:b/>
          <w:i/>
          <w:sz w:val="20"/>
        </w:rPr>
        <w:t>Proceeding</w:t>
      </w:r>
      <w:r>
        <w:rPr>
          <w:rFonts w:ascii="Times New Roman" w:hAnsi="Times New Roman"/>
          <w:sz w:val="20"/>
        </w:rPr>
        <w:t xml:space="preserve">”) or the preparation of any defense with respect thereto arising out of or in connection with or relating to this Agreement or any of the other Notes Documents or the Transactions or any use made or proposed to be made with the proceeds of the Notes, whether or not such Proceeding is brought by any Obligor, any of its Subsidiaries, any of its shareholders or creditors, an Indemnified Party or any other Person, or an Indemnified Party is otherwise a party thereto, and whether or not any of the conditions precedent set forth in </w:t>
      </w: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Notes Documents or any of the Transactions or the actual or proposed use of the proceeds of the Notes. This </w:t>
      </w:r>
      <w:r>
        <w:rPr>
          <w:rFonts w:ascii="Times New Roman" w:hAnsi="Times New Roman"/>
          <w:b/>
          <w:sz w:val="20"/>
        </w:rPr>
        <w:t>Section</w:t>
      </w:r>
      <w:r>
        <w:rPr>
          <w:rFonts w:ascii="Times New Roman" w:hAnsi="Times New Roman"/>
          <w:sz w:val="20"/>
        </w:rPr>
        <w:t> </w:t>
      </w:r>
      <w:r>
        <w:rPr>
          <w:rFonts w:ascii="Times New Roman" w:hAnsi="Times New Roman"/>
          <w:b/>
          <w:sz w:val="20"/>
        </w:rPr>
        <w:t>14.03(b)</w:t>
      </w:r>
      <w:r>
        <w:rPr>
          <w:rFonts w:ascii="Times New Roman" w:hAnsi="Times New Roman"/>
          <w:sz w:val="20"/>
        </w:rPr>
        <w:t xml:space="preserve"> shall not apply with respect to Taxes other than any Taxes that represent Losses arising from any non-Tax Claim. </w:t>
      </w:r>
    </w:p>
    <w:p>
      <w:pPr>
        <w:pStyle w:val="TextBody"/>
        <w:bidi w:val="0"/>
        <w:spacing w:before="120" w:after="0"/>
        <w:jc w:val="left"/>
        <w:rPr>
          <w:rFonts w:ascii="Times New Roman" w:hAnsi="Times New Roman"/>
          <w:sz w:val="20"/>
        </w:rPr>
      </w:pPr>
      <w:r>
        <w:rPr>
          <w:rFonts w:ascii="Times New Roman" w:hAnsi="Times New Roman"/>
          <w:b/>
          <w:sz w:val="20"/>
        </w:rPr>
        <w:t>14.04</w:t>
      </w:r>
      <w:r>
        <w:rPr>
          <w:rFonts w:ascii="Times New Roman" w:hAnsi="Times New Roman"/>
          <w:sz w:val="20"/>
        </w:rPr>
        <w:t xml:space="preserve"> </w:t>
      </w:r>
      <w:r>
        <w:rPr>
          <w:rFonts w:ascii="Times New Roman" w:hAnsi="Times New Roman"/>
          <w:b/>
          <w:sz w:val="20"/>
        </w:rPr>
        <w:t>Amendments, Etc.</w:t>
      </w:r>
      <w:r>
        <w:rPr>
          <w:rFonts w:ascii="Times New Roman" w:hAnsi="Times New Roman"/>
          <w:sz w:val="20"/>
        </w:rPr>
        <w:t xml:space="preserve"> Except as otherwise expressly provided in this Agreement, any provision of this Agreement and any other Notes Document may be modified or supplemented only by an instrument in writing signed by the Obligors, the Administrative Agent and the Majority Noteholders;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such modification or supplement that is disproportionately adverse to any Noteholder as compared to other Noteholders or subjects any Noteholder to any additional obligation shall not be effective without the consent of such affected Noteholder;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all of the Noteholders shall be required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discharge, terminate or waive any of the terms of this Agreement or any other Notes Document if such amendment, modification, discharge, termination or waiver would increase the principal amount of the Notes or any Commitment; </w:t>
      </w:r>
    </w:p>
    <w:p>
      <w:pPr>
        <w:pStyle w:val="TextBody"/>
        <w:bidi w:val="0"/>
        <w:spacing w:before="120" w:after="0"/>
        <w:jc w:val="left"/>
        <w:rPr>
          <w:rFonts w:ascii="Times New Roman" w:hAnsi="Times New Roman"/>
          <w:sz w:val="20"/>
        </w:rPr>
      </w:pPr>
      <w:r>
        <w:rPr>
          <w:rFonts w:ascii="Times New Roman" w:hAnsi="Times New Roman"/>
          <w:sz w:val="20"/>
        </w:rPr>
        <w:t xml:space="preserve">(ii) postpone or delay any date fixed for, or reduce or waive, any scheduled installment of principal or any payment of interest, fees or other amounts (other than principal) due to the Noteholders;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principal of, or the rate of interest specified herein (it being agreed that waiver of the default interest shall only require the consent of Majority Noteholders) or the amount of interest payable in cash specified herein in respect of any Note, or of any fees or other amounts payable hereunder or under any other Notes Document due to the Noteholders;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amend or waive compliance with the conditions precedent to the obligations of Noteholders to subscribe for Notes in </w:t>
      </w:r>
      <w:r>
        <w:rPr>
          <w:rFonts w:ascii="Times New Roman" w:hAnsi="Times New Roman"/>
          <w:b/>
          <w:sz w:val="20"/>
        </w:rPr>
        <w:t>Section</w:t>
      </w:r>
      <w:r>
        <w:rPr>
          <w:rFonts w:ascii="Times New Roman" w:hAnsi="Times New Roman"/>
          <w:sz w:val="20"/>
        </w:rPr>
        <w:t> </w:t>
      </w:r>
      <w:r>
        <w:rPr>
          <w:rFonts w:ascii="Times New Roman" w:hAnsi="Times New Roman"/>
          <w:b/>
          <w:sz w:val="20"/>
        </w:rPr>
        <w:t>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amend, modify, discharge, terminate or waive any Security Document if the effect is to discharge the Issuer or any Subsidiary from their respective Obligations, or release a material part of the Collateral, in each case other than pursuant to the terms of hereof and thereof; or </w:t>
      </w:r>
    </w:p>
    <w:p>
      <w:pPr>
        <w:pStyle w:val="TextBody"/>
        <w:bidi w:val="0"/>
        <w:spacing w:before="120" w:after="0"/>
        <w:jc w:val="left"/>
        <w:rPr>
          <w:rFonts w:ascii="Times New Roman" w:hAnsi="Times New Roman"/>
          <w:sz w:val="20"/>
        </w:rPr>
      </w:pPr>
      <w:r>
        <w:rPr>
          <w:rFonts w:ascii="Times New Roman" w:hAnsi="Times New Roman"/>
          <w:sz w:val="20"/>
        </w:rPr>
        <w:t xml:space="preserve">(vi) amend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14.04 </w:t>
      </w:r>
      <w:r>
        <w:rPr>
          <w:rFonts w:ascii="Times New Roman" w:hAnsi="Times New Roman"/>
          <w:sz w:val="20"/>
        </w:rPr>
        <w:t>or the definition of “</w:t>
      </w:r>
      <w:r>
        <w:rPr>
          <w:rFonts w:ascii="Times New Roman" w:hAnsi="Times New Roman"/>
          <w:b/>
          <w:sz w:val="20"/>
        </w:rPr>
        <w:t>Majority Noteholders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the Administrative Agent and the Issuer shall have jointly identified an obvious error or any error or omission of a technical nature, in each case, in any provision of the Notes Documents, then the Administrative Agent and the Issuer shall be permitted to amend such provision, and, in each case, such amendment shall become effective without any further action or consent of any other party to any Notes Document if the same is not objected to in writing by the Majority Noteholders to the Administrative Agent within ten (10) Business Days following receipt of notice thereof. </w:t>
      </w:r>
    </w:p>
    <w:p>
      <w:pPr>
        <w:pStyle w:val="TextBody"/>
        <w:bidi w:val="0"/>
        <w:spacing w:before="120" w:after="0"/>
        <w:jc w:val="left"/>
        <w:rPr>
          <w:rFonts w:ascii="Times New Roman" w:hAnsi="Times New Roman"/>
          <w:sz w:val="20"/>
        </w:rPr>
      </w:pPr>
      <w:r>
        <w:rPr>
          <w:rFonts w:ascii="Times New Roman" w:hAnsi="Times New Roman"/>
          <w:b/>
          <w:sz w:val="20"/>
        </w:rPr>
        <w:t>14.05</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The provisions of this Agreement and the other Notes Documents shall be binding upon and shall inure to the benefit of the parties hereto or thereto and their respective successors and assigns permitted hereby or thereby, except that no Obligor may assign or otherwise transfer any of its rights or obligations hereunder without the prior written consent of the Administrative Agent. Any Noteholder may assign or otherwise transfer any of its rights or obligations hereunder or under any of the other Notes Documents (i) to an assignee in accordance with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14.05(b)</w:t>
      </w:r>
      <w:r>
        <w:rPr>
          <w:rFonts w:ascii="Times New Roman" w:hAnsi="Times New Roman"/>
          <w:sz w:val="20"/>
        </w:rPr>
        <w:t xml:space="preserve">, (ii) by way of participation in accordance with the provisions of </w:t>
      </w:r>
      <w:r>
        <w:rPr>
          <w:rFonts w:ascii="Times New Roman" w:hAnsi="Times New Roman"/>
          <w:b/>
          <w:sz w:val="20"/>
        </w:rPr>
        <w:t>Section</w:t>
      </w:r>
      <w:r>
        <w:rPr>
          <w:rFonts w:ascii="Times New Roman" w:hAnsi="Times New Roman"/>
          <w:sz w:val="20"/>
        </w:rPr>
        <w:t> </w:t>
      </w:r>
      <w:r>
        <w:rPr>
          <w:rFonts w:ascii="Times New Roman" w:hAnsi="Times New Roman"/>
          <w:b/>
          <w:sz w:val="20"/>
        </w:rPr>
        <w:t>14.05(e)</w:t>
      </w:r>
      <w:r>
        <w:rPr>
          <w:rFonts w:ascii="Times New Roman" w:hAnsi="Times New Roman"/>
          <w:sz w:val="20"/>
        </w:rPr>
        <w:t xml:space="preserve">, or (iii) by way of pledge or assignment of a security interest subject to the restrictions of </w:t>
      </w:r>
      <w:r>
        <w:rPr>
          <w:rFonts w:ascii="Times New Roman" w:hAnsi="Times New Roman"/>
          <w:b/>
          <w:sz w:val="20"/>
        </w:rPr>
        <w:t>Section</w:t>
      </w:r>
      <w:r>
        <w:rPr>
          <w:rFonts w:ascii="Times New Roman" w:hAnsi="Times New Roman"/>
          <w:sz w:val="20"/>
        </w:rPr>
        <w:t> </w:t>
      </w:r>
      <w:r>
        <w:rPr>
          <w:rFonts w:ascii="Times New Roman" w:hAnsi="Times New Roman"/>
          <w:b/>
          <w:sz w:val="20"/>
        </w:rPr>
        <w:t>14.05(h)</w:t>
      </w:r>
      <w:r>
        <w:rPr>
          <w:rFonts w:ascii="Times New Roman" w:hAnsi="Times New Roman"/>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b/>
          <w:sz w:val="20"/>
        </w:rPr>
        <w:t>Section</w:t>
      </w:r>
      <w:r>
        <w:rPr>
          <w:rFonts w:ascii="Times New Roman" w:hAnsi="Times New Roman"/>
          <w:sz w:val="20"/>
        </w:rPr>
        <w:t> </w:t>
      </w:r>
      <w:r>
        <w:rPr>
          <w:rFonts w:ascii="Times New Roman" w:hAnsi="Times New Roman"/>
          <w:b/>
          <w:sz w:val="20"/>
        </w:rPr>
        <w:t>14.05(f)</w:t>
      </w:r>
      <w:r>
        <w:rPr>
          <w:rFonts w:ascii="Times New Roman" w:hAnsi="Times New Roman"/>
          <w:sz w:val="20"/>
        </w:rPr>
        <w:t xml:space="preserve"> and, to the extent expressly contemplated hereby, the Related Parties of each of the Administrative Agent and the Noteholders)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Assignments by Noteholder</w:t>
      </w:r>
      <w:r>
        <w:rPr>
          <w:rFonts w:ascii="Times New Roman" w:hAnsi="Times New Roman"/>
          <w:sz w:val="20"/>
        </w:rPr>
        <w:t xml:space="preserve">. Any Noteholder may at any time transfer or assign to one or more Eligible Transferees all or a portion of its rights and obligations under this Agreement (including all or a portion of the Notes at the time owing to it) and the other Notes Documents; </w:t>
      </w:r>
      <w:r>
        <w:rPr>
          <w:rFonts w:ascii="Times New Roman" w:hAnsi="Times New Roman"/>
          <w:sz w:val="20"/>
          <w:u w:val="single"/>
        </w:rPr>
        <w:t>provided</w:t>
      </w:r>
      <w:r>
        <w:rPr>
          <w:rFonts w:ascii="Times New Roman" w:hAnsi="Times New Roman"/>
          <w:sz w:val="20"/>
        </w:rPr>
        <w:t xml:space="preserve"> that (i) no such assignment shall be made to any Obligor, any Affiliate of any Obligor, or any employees or directors of any Obligor at any time, (ii) no such assignment shall be made without the prior written consent of the Administrative Agent (other than for assignments to another Lender or an Affiliate of a Lender, for which the consent of the Administrative Agent shall not be required), and (iii) so long as no Event of Default has occurred and is continuing, no such assignment shall be made without the prior written consent of the Issuer (such consents (x) not to be unreasonably withheld, delayed or conditioned and (y) not required for assignments to another Lender or an Affiliate of a Lender); </w:t>
      </w:r>
      <w:r>
        <w:rPr>
          <w:rFonts w:ascii="Times New Roman" w:hAnsi="Times New Roman"/>
          <w:sz w:val="20"/>
          <w:u w:val="single"/>
        </w:rPr>
        <w:t>provided</w:t>
      </w:r>
      <w:r>
        <w:rPr>
          <w:rFonts w:ascii="Times New Roman" w:hAnsi="Times New Roman"/>
          <w:sz w:val="20"/>
        </w:rPr>
        <w:t xml:space="preserve"> that the Issuer shall be deemed to have consented to any such assignment unless it shall object thereto by written notice to the Administrative Agent within five (5) Business Days after having received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an Event of Default has occurred and is continuing under </w:t>
      </w:r>
      <w:r>
        <w:rPr>
          <w:rFonts w:ascii="Times New Roman" w:hAnsi="Times New Roman"/>
          <w:b/>
          <w:sz w:val="20"/>
        </w:rPr>
        <w:t>Sections 11.01(a)</w:t>
      </w:r>
      <w:r>
        <w:rPr>
          <w:rFonts w:ascii="Times New Roman" w:hAnsi="Times New Roman"/>
          <w:sz w:val="20"/>
        </w:rPr>
        <w:t xml:space="preserve">, </w:t>
      </w:r>
      <w:r>
        <w:rPr>
          <w:rFonts w:ascii="Times New Roman" w:hAnsi="Times New Roman"/>
          <w:b/>
          <w:sz w:val="20"/>
        </w:rPr>
        <w:t>(b)</w:t>
      </w:r>
      <w:r>
        <w:rPr>
          <w:rFonts w:ascii="Times New Roman" w:hAnsi="Times New Roman"/>
          <w:sz w:val="20"/>
        </w:rPr>
        <w:t xml:space="preserve">, </w:t>
      </w:r>
      <w:r>
        <w:rPr>
          <w:rFonts w:ascii="Times New Roman" w:hAnsi="Times New Roman"/>
          <w:b/>
          <w:sz w:val="20"/>
        </w:rPr>
        <w:t>(d)</w:t>
      </w:r>
      <w:r>
        <w:rPr>
          <w:rFonts w:ascii="Times New Roman" w:hAnsi="Times New Roman"/>
          <w:sz w:val="20"/>
        </w:rPr>
        <w:t xml:space="preserve"> (with respect to any covenant under </w:t>
      </w:r>
      <w:r>
        <w:rPr>
          <w:rFonts w:ascii="Times New Roman" w:hAnsi="Times New Roman"/>
          <w:b/>
          <w:sz w:val="20"/>
        </w:rPr>
        <w:t>Section</w:t>
      </w:r>
      <w:r>
        <w:rPr>
          <w:rFonts w:ascii="Times New Roman" w:hAnsi="Times New Roman"/>
          <w:sz w:val="20"/>
        </w:rPr>
        <w:t> </w:t>
      </w:r>
      <w:r>
        <w:rPr>
          <w:rFonts w:ascii="Times New Roman" w:hAnsi="Times New Roman"/>
          <w:b/>
          <w:sz w:val="20"/>
        </w:rPr>
        <w:t>10</w:t>
      </w:r>
      <w:r>
        <w:rPr>
          <w:rFonts w:ascii="Times New Roman" w:hAnsi="Times New Roman"/>
          <w:sz w:val="20"/>
        </w:rPr>
        <w:t xml:space="preserve">), </w:t>
      </w:r>
      <w:r>
        <w:rPr>
          <w:rFonts w:ascii="Times New Roman" w:hAnsi="Times New Roman"/>
          <w:b/>
          <w:sz w:val="20"/>
        </w:rPr>
        <w:t>(h)</w:t>
      </w:r>
      <w:r>
        <w:rPr>
          <w:rFonts w:ascii="Times New Roman" w:hAnsi="Times New Roman"/>
          <w:sz w:val="20"/>
        </w:rPr>
        <w:t xml:space="preserve">, </w:t>
      </w:r>
      <w:r>
        <w:rPr>
          <w:rFonts w:ascii="Times New Roman" w:hAnsi="Times New Roman"/>
          <w:b/>
          <w:sz w:val="20"/>
        </w:rPr>
        <w:t>(i)</w:t>
      </w:r>
      <w:r>
        <w:rPr>
          <w:rFonts w:ascii="Times New Roman" w:hAnsi="Times New Roman"/>
          <w:sz w:val="20"/>
        </w:rPr>
        <w:t xml:space="preserve">, </w:t>
      </w:r>
      <w:r>
        <w:rPr>
          <w:rFonts w:ascii="Times New Roman" w:hAnsi="Times New Roman"/>
          <w:b/>
          <w:sz w:val="20"/>
        </w:rPr>
        <w:t>(j)</w:t>
      </w:r>
      <w:r>
        <w:rPr>
          <w:rFonts w:ascii="Times New Roman" w:hAnsi="Times New Roman"/>
          <w:sz w:val="20"/>
        </w:rPr>
        <w:t xml:space="preserve"> or </w:t>
      </w:r>
      <w:r>
        <w:rPr>
          <w:rFonts w:ascii="Times New Roman" w:hAnsi="Times New Roman"/>
          <w:b/>
          <w:sz w:val="20"/>
        </w:rPr>
        <w:t>(o)</w:t>
      </w:r>
      <w:r>
        <w:rPr>
          <w:rFonts w:ascii="Times New Roman" w:hAnsi="Times New Roman"/>
          <w:sz w:val="20"/>
        </w:rPr>
        <w:t xml:space="preserve">, a Noteholder may transfer or assign all or a portion of its rights and obligations under this Agreement (including all or a portion of the Notes at the time owing to it) and the other Notes Documents to a Disqualified Institution. Subject to the recording thereof by the Noteholder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14.05(d)</w:t>
      </w:r>
      <w:r>
        <w:rPr>
          <w:rFonts w:ascii="Times New Roman" w:hAnsi="Times New Roman"/>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such Noteholder under this Agreement and the other Notes Document, and correspondingly the assigning Noteholder shall, to the extent of the interest assigned by such Assignment and Assumption, be released from its obligations under this Agreement (and, in the case of a transfer or assignment covering all of the Noteholder’s rights and obligations under this Agreement, such Noteholder shall cease to be a party hereto) and the other Notes Documents but shall continue to be entitled to the benefits of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and </w:t>
      </w: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Any assignment or transfer by the Noteholder of rights or obligations under this Agreement that does not comply with this </w:t>
      </w:r>
      <w:r>
        <w:rPr>
          <w:rFonts w:ascii="Times New Roman" w:hAnsi="Times New Roman"/>
          <w:b/>
          <w:sz w:val="20"/>
        </w:rPr>
        <w:t>Section</w:t>
      </w:r>
      <w:r>
        <w:rPr>
          <w:rFonts w:ascii="Times New Roman" w:hAnsi="Times New Roman"/>
          <w:sz w:val="20"/>
        </w:rPr>
        <w:t> </w:t>
      </w:r>
      <w:r>
        <w:rPr>
          <w:rFonts w:ascii="Times New Roman" w:hAnsi="Times New Roman"/>
          <w:b/>
          <w:sz w:val="20"/>
        </w:rPr>
        <w:t>14.05(b)</w:t>
      </w:r>
      <w:r>
        <w:rPr>
          <w:rFonts w:ascii="Times New Roman" w:hAnsi="Times New Roman"/>
          <w:sz w:val="20"/>
        </w:rPr>
        <w:t xml:space="preserve"> shall be treated for purposes of this Agreement as a sale by such Noteholder of a participation in such rights and obligations in accordance with </w:t>
      </w:r>
      <w:r>
        <w:rPr>
          <w:rFonts w:ascii="Times New Roman" w:hAnsi="Times New Roman"/>
          <w:b/>
          <w:sz w:val="20"/>
        </w:rPr>
        <w:t>Section</w:t>
      </w:r>
      <w:r>
        <w:rPr>
          <w:rFonts w:ascii="Times New Roman" w:hAnsi="Times New Roman"/>
          <w:sz w:val="20"/>
        </w:rPr>
        <w:t> </w:t>
      </w:r>
      <w:r>
        <w:rPr>
          <w:rFonts w:ascii="Times New Roman" w:hAnsi="Times New Roman"/>
          <w:b/>
          <w:sz w:val="20"/>
        </w:rPr>
        <w:t>14.05(e)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Amendments to Notes Document</w:t>
      </w:r>
      <w:r>
        <w:rPr>
          <w:rFonts w:ascii="Times New Roman" w:hAnsi="Times New Roman"/>
          <w:sz w:val="20"/>
        </w:rPr>
        <w:t xml:space="preserve">. Each of the Administrative Agent, the Noteholders, the Issuer and its Subsidiaries agrees to enter into such amendments to the Notes Documents, and such additional Security Documents and other instruments and agreements, in each case in form and substance reasonably acceptable to the Administrative Agent, the Noteholders, the Issuer and its Subsidiaries, as shall reasonably be necessary to implement and give effect to any assignment made under this </w:t>
      </w:r>
      <w:r>
        <w:rPr>
          <w:rFonts w:ascii="Times New Roman" w:hAnsi="Times New Roman"/>
          <w:b/>
          <w:sz w:val="20"/>
        </w:rPr>
        <w:t>Section</w:t>
      </w:r>
      <w:r>
        <w:rPr>
          <w:rFonts w:ascii="Times New Roman" w:hAnsi="Times New Roman"/>
          <w:sz w:val="20"/>
        </w:rPr>
        <w:t> </w:t>
      </w:r>
      <w:r>
        <w:rPr>
          <w:rFonts w:ascii="Times New Roman" w:hAnsi="Times New Roman"/>
          <w:b/>
          <w:sz w:val="20"/>
        </w:rPr>
        <w:t>14.05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Notes Register</w:t>
      </w:r>
      <w:r>
        <w:rPr>
          <w:rFonts w:ascii="Times New Roman" w:hAnsi="Times New Roman"/>
          <w:sz w:val="20"/>
        </w:rPr>
        <w:t>. The Administrative Agent, acting solely for this purpose as a non-fiduciary agent of the Issuer, shall maintain at one of its offices in the United States a copy of each Assignment and Assumption delivered to it and a register for the recordation of the names and addresses of the Noteholders, and the Commitments of, and principal amounts (and stated interest) of the Notes owing to, each Noteholder pursuant to the terms hereof from time to time (the “</w:t>
      </w:r>
      <w:r>
        <w:rPr>
          <w:rFonts w:ascii="Times New Roman" w:hAnsi="Times New Roman"/>
          <w:b/>
          <w:sz w:val="20"/>
        </w:rPr>
        <w:t>Notes Register</w:t>
      </w:r>
      <w:r>
        <w:rPr>
          <w:rFonts w:ascii="Times New Roman" w:hAnsi="Times New Roman"/>
          <w:sz w:val="20"/>
        </w:rPr>
        <w:t xml:space="preserve">”). The entries in the Notes Register shall be conclusive absent manifest error, and the Issuer, the Administrative Agent and the Noteholders shall treat each Person whose name is recorded in the Notes Register pursuant to the terms hereof as a Noteholder hereunder for all purposes of this Agreement. The Notes Register shall be available for inspection by the Issuer and any Noteholder,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Participations</w:t>
      </w:r>
      <w:r>
        <w:rPr>
          <w:rFonts w:ascii="Times New Roman" w:hAnsi="Times New Roman"/>
          <w:sz w:val="20"/>
        </w:rPr>
        <w:t>. Any Noteholder may at any time, without the consent of, or notice to, the Issuer, sell participations to any Person (other than a Disqualified Institution (so long as no Event of Default shall have occurred and is continuing), natural person or any Obligor or any of its Subsidiaries or Affiliates) (each, a “</w:t>
      </w:r>
      <w:r>
        <w:rPr>
          <w:rFonts w:ascii="Times New Roman" w:hAnsi="Times New Roman"/>
          <w:b/>
          <w:i/>
          <w:sz w:val="20"/>
        </w:rPr>
        <w:t>Participant</w:t>
      </w:r>
      <w:r>
        <w:rPr>
          <w:rFonts w:ascii="Times New Roman" w:hAnsi="Times New Roman"/>
          <w:sz w:val="20"/>
        </w:rPr>
        <w:t xml:space="preserve">”) in all or a portion of the Noteholder’s rights and/or obligations under this Agreement (including all or a portion of the Commitment and/or the Notes owing to it); </w:t>
      </w:r>
      <w:r>
        <w:rPr>
          <w:rFonts w:ascii="Times New Roman" w:hAnsi="Times New Roman"/>
          <w:sz w:val="20"/>
          <w:u w:val="single"/>
        </w:rPr>
        <w:t>provided</w:t>
      </w:r>
      <w:r>
        <w:rPr>
          <w:rFonts w:ascii="Times New Roman" w:hAnsi="Times New Roman"/>
          <w:sz w:val="20"/>
        </w:rPr>
        <w:t xml:space="preserve"> that (i) such Noteholder’s obligations under this Agreement shall remain unchanged, (ii) such Noteholder shall remain solely responsible to the other parties hereto for the performance of such obligations and (iii) the Issuer shall continue to deal solely and directly with such Noteholder in connection therewith. Any agreement or instrument pursuant to which any Noteholder sells such a participation shall provide that such Noteholder shall retain the sole right to enforce the Notes Documents and to approve any amendment, modification or waiver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provision of the Notes Documents; </w:t>
      </w:r>
      <w:r>
        <w:rPr>
          <w:rFonts w:ascii="Times New Roman" w:hAnsi="Times New Roman"/>
          <w:sz w:val="20"/>
          <w:u w:val="single"/>
        </w:rPr>
        <w:t>provided</w:t>
      </w:r>
      <w:r>
        <w:rPr>
          <w:rFonts w:ascii="Times New Roman" w:hAnsi="Times New Roman"/>
          <w:sz w:val="20"/>
        </w:rPr>
        <w:t xml:space="preserve"> that such agreement or instrument may provide that such Noteholder shall not, without the consent of the Participant, agree to any amendment, modification or waiver that would (i) increase or extend the term of such Noteholder’s Commitment, (ii) extend the date fixed for the payment of principal of or interest on the Notes or any portion of any fee hereunder payable to the Participant, (iii) reduce the amount of any such payment of principal, or (iv) reduce the rate at which interest is payable thereon to a level below the rate at which the Participant is entitled to receive such interest. Subject to </w:t>
      </w:r>
      <w:r>
        <w:rPr>
          <w:rFonts w:ascii="Times New Roman" w:hAnsi="Times New Roman"/>
          <w:b/>
          <w:sz w:val="20"/>
        </w:rPr>
        <w:t>Section</w:t>
      </w:r>
      <w:r>
        <w:rPr>
          <w:rFonts w:ascii="Times New Roman" w:hAnsi="Times New Roman"/>
          <w:sz w:val="20"/>
        </w:rPr>
        <w:t> </w:t>
      </w:r>
      <w:r>
        <w:rPr>
          <w:rFonts w:ascii="Times New Roman" w:hAnsi="Times New Roman"/>
          <w:b/>
          <w:sz w:val="20"/>
        </w:rPr>
        <w:t>14.05(f)</w:t>
      </w:r>
      <w:r>
        <w:rPr>
          <w:rFonts w:ascii="Times New Roman" w:hAnsi="Times New Roman"/>
          <w:sz w:val="20"/>
        </w:rPr>
        <w:t xml:space="preserve">, the Issuer agrees that each Participant shall be entitled to the benefits of </w:t>
      </w:r>
      <w:r>
        <w:rPr>
          <w:rFonts w:ascii="Times New Roman" w:hAnsi="Times New Roman"/>
          <w:b/>
          <w:sz w:val="20"/>
        </w:rPr>
        <w:t>Section</w:t>
      </w:r>
      <w:r>
        <w:rPr>
          <w:rFonts w:ascii="Times New Roman" w:hAnsi="Times New Roman"/>
          <w:sz w:val="20"/>
        </w:rPr>
        <w:t> </w:t>
      </w:r>
      <w:r>
        <w:rPr>
          <w:rFonts w:ascii="Times New Roman" w:hAnsi="Times New Roman"/>
          <w:b/>
          <w:sz w:val="20"/>
        </w:rPr>
        <w:t>5</w:t>
      </w:r>
      <w:r>
        <w:rPr>
          <w:rFonts w:ascii="Times New Roman" w:hAnsi="Times New Roman"/>
          <w:sz w:val="20"/>
        </w:rPr>
        <w:t xml:space="preserve"> (subject to the requirements and limitations therein including the requirements under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5.03(f) </w:t>
      </w:r>
      <w:r>
        <w:rPr>
          <w:rFonts w:ascii="Times New Roman" w:hAnsi="Times New Roman"/>
          <w:sz w:val="20"/>
        </w:rPr>
        <w:t xml:space="preserve">(it being understood that the documentation required under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5.03(f) </w:t>
      </w:r>
      <w:r>
        <w:rPr>
          <w:rFonts w:ascii="Times New Roman" w:hAnsi="Times New Roman"/>
          <w:sz w:val="20"/>
        </w:rPr>
        <w:t xml:space="preserve">shall be delivered to the participating Noteholder)) to the same extent as if it were a Noteholder and had acquired its interest by assignment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14.05(b)</w:t>
      </w:r>
      <w:r>
        <w:rPr>
          <w:rFonts w:ascii="Times New Roman" w:hAnsi="Times New Roman"/>
          <w:sz w:val="20"/>
        </w:rPr>
        <w:t xml:space="preserve">. To the extent permitted by applicable Law, each Participant also shall be entitled to the benefits of </w:t>
      </w:r>
      <w:r>
        <w:rPr>
          <w:rFonts w:ascii="Times New Roman" w:hAnsi="Times New Roman"/>
          <w:b/>
          <w:sz w:val="20"/>
        </w:rPr>
        <w:t>Section</w:t>
      </w:r>
      <w:r>
        <w:rPr>
          <w:rFonts w:ascii="Times New Roman" w:hAnsi="Times New Roman"/>
          <w:sz w:val="20"/>
        </w:rPr>
        <w:t> </w:t>
      </w:r>
      <w:r>
        <w:rPr>
          <w:rFonts w:ascii="Times New Roman" w:hAnsi="Times New Roman"/>
          <w:b/>
          <w:sz w:val="20"/>
        </w:rPr>
        <w:t>4.03(a)</w:t>
      </w:r>
      <w:r>
        <w:rPr>
          <w:rFonts w:ascii="Times New Roman" w:hAnsi="Times New Roman"/>
          <w:sz w:val="20"/>
        </w:rPr>
        <w:t xml:space="preserve"> as though it were a Noteholder.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Limitations on Rights of Participants</w:t>
      </w:r>
      <w:r>
        <w:rPr>
          <w:rFonts w:ascii="Times New Roman" w:hAnsi="Times New Roman"/>
          <w:sz w:val="20"/>
        </w:rPr>
        <w:t xml:space="preserve">. A Participant shall not be entitled to receive any greater payment under </w:t>
      </w:r>
      <w:r>
        <w:rPr>
          <w:rFonts w:ascii="Times New Roman" w:hAnsi="Times New Roman"/>
          <w:b/>
          <w:sz w:val="20"/>
        </w:rPr>
        <w:t>Sections 5.01</w:t>
      </w:r>
      <w:r>
        <w:rPr>
          <w:rFonts w:ascii="Times New Roman" w:hAnsi="Times New Roman"/>
          <w:sz w:val="20"/>
        </w:rPr>
        <w:t xml:space="preserve"> or </w:t>
      </w:r>
      <w:r>
        <w:rPr>
          <w:rFonts w:ascii="Times New Roman" w:hAnsi="Times New Roman"/>
          <w:b/>
          <w:sz w:val="20"/>
        </w:rPr>
        <w:t>5.03</w:t>
      </w:r>
      <w:r>
        <w:rPr>
          <w:rFonts w:ascii="Times New Roman" w:hAnsi="Times New Roman"/>
          <w:sz w:val="20"/>
        </w:rPr>
        <w:t xml:space="preserve"> than such Noteholder would have been entitled to receive with respect to the participation sold to such Participant, except to the extent such entitlement to receive a greater payment results from a change in Law that occurs after the Participant acquired the applicable participation.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Participant Register</w:t>
      </w:r>
      <w:r>
        <w:rPr>
          <w:rFonts w:ascii="Times New Roman" w:hAnsi="Times New Roman"/>
          <w:sz w:val="20"/>
        </w:rPr>
        <w:t>. Each Noteholder that sells a participation shall, acting solely for this purpose as a non-fiduciary agent of the Issuer, maintain a register on which it enters the name and address of each Participant and the principal amounts (and stated interest) of each Participant’s interest in the Notes or other Obligations under the Notes Documents (the “</w:t>
      </w:r>
      <w:r>
        <w:rPr>
          <w:rFonts w:ascii="Times New Roman" w:hAnsi="Times New Roman"/>
          <w:b/>
          <w:i/>
          <w:sz w:val="20"/>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Noteholder shall have any obligation to disclose all or any portion of the Participant Register (including the identity of any Participant or any information relating to a Participant’s interest in any Commitments, Notes, or its other Obligations under any Notes Document) to any Person except to the extent that such disclosure is necessary to establish that such Commitment, Note, or other Obligation is in registered form under Section 5f.103-1(c) of the United States Treasury Regulations. The entries in the Participant Register shall be conclusive absent manifest error, and such Noteholder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Certain Pledges</w:t>
      </w:r>
      <w:r>
        <w:rPr>
          <w:rFonts w:ascii="Times New Roman" w:hAnsi="Times New Roman"/>
          <w:sz w:val="20"/>
        </w:rPr>
        <w:t xml:space="preserve">. Any Noteholder may at any time pledge or assign a security interest in all or any portion of its rights under the Notes Documents to secure obligations of such Noteholder,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Noteholder from any of its obligations hereunder or substitute any such pledgee or assignee for such Noteholder as a party hereto. </w:t>
      </w:r>
    </w:p>
    <w:p>
      <w:pPr>
        <w:pStyle w:val="TextBody"/>
        <w:bidi w:val="0"/>
        <w:spacing w:before="120" w:after="0"/>
        <w:jc w:val="left"/>
        <w:rPr>
          <w:rFonts w:ascii="Times New Roman" w:hAnsi="Times New Roman"/>
          <w:sz w:val="20"/>
        </w:rPr>
      </w:pPr>
      <w:r>
        <w:rPr>
          <w:rFonts w:ascii="Times New Roman" w:hAnsi="Times New Roman"/>
          <w:b/>
          <w:sz w:val="20"/>
        </w:rPr>
        <w:t>14.06</w:t>
      </w:r>
      <w:r>
        <w:rPr>
          <w:rFonts w:ascii="Times New Roman" w:hAnsi="Times New Roman"/>
          <w:sz w:val="20"/>
        </w:rPr>
        <w:t xml:space="preserve"> </w:t>
      </w:r>
      <w:r>
        <w:rPr>
          <w:rFonts w:ascii="Times New Roman" w:hAnsi="Times New Roman"/>
          <w:b/>
          <w:sz w:val="20"/>
        </w:rPr>
        <w:t>Survival</w:t>
      </w:r>
      <w:r>
        <w:rPr>
          <w:rFonts w:ascii="Times New Roman" w:hAnsi="Times New Roman"/>
          <w:sz w:val="20"/>
        </w:rPr>
        <w:t xml:space="preserve">. The obligations of the Issuer under </w:t>
      </w:r>
      <w:r>
        <w:rPr>
          <w:rFonts w:ascii="Times New Roman" w:hAnsi="Times New Roman"/>
          <w:b/>
          <w:sz w:val="20"/>
        </w:rPr>
        <w:t>Sections 5.01</w:t>
      </w:r>
      <w:r>
        <w:rPr>
          <w:rFonts w:ascii="Times New Roman" w:hAnsi="Times New Roman"/>
          <w:sz w:val="20"/>
        </w:rPr>
        <w:t xml:space="preserve">, </w:t>
      </w:r>
      <w:r>
        <w:rPr>
          <w:rFonts w:ascii="Times New Roman" w:hAnsi="Times New Roman"/>
          <w:b/>
          <w:sz w:val="20"/>
        </w:rPr>
        <w:t>5.02</w:t>
      </w:r>
      <w:r>
        <w:rPr>
          <w:rFonts w:ascii="Times New Roman" w:hAnsi="Times New Roman"/>
          <w:sz w:val="20"/>
        </w:rPr>
        <w:t xml:space="preserve">, </w:t>
      </w:r>
      <w:r>
        <w:rPr>
          <w:rFonts w:ascii="Times New Roman" w:hAnsi="Times New Roman"/>
          <w:b/>
          <w:sz w:val="20"/>
        </w:rPr>
        <w:t>5.03</w:t>
      </w:r>
      <w:r>
        <w:rPr>
          <w:rFonts w:ascii="Times New Roman" w:hAnsi="Times New Roman"/>
          <w:sz w:val="20"/>
        </w:rPr>
        <w:t xml:space="preserve">, </w:t>
      </w:r>
      <w:r>
        <w:rPr>
          <w:rFonts w:ascii="Times New Roman" w:hAnsi="Times New Roman"/>
          <w:b/>
          <w:sz w:val="20"/>
        </w:rPr>
        <w:t>14.03</w:t>
      </w:r>
      <w:r>
        <w:rPr>
          <w:rFonts w:ascii="Times New Roman" w:hAnsi="Times New Roman"/>
          <w:sz w:val="20"/>
        </w:rPr>
        <w:t xml:space="preserve">, </w:t>
      </w:r>
      <w:r>
        <w:rPr>
          <w:rFonts w:ascii="Times New Roman" w:hAnsi="Times New Roman"/>
          <w:b/>
          <w:sz w:val="20"/>
        </w:rPr>
        <w:t>14.05</w:t>
      </w:r>
      <w:r>
        <w:rPr>
          <w:rFonts w:ascii="Times New Roman" w:hAnsi="Times New Roman"/>
          <w:sz w:val="20"/>
        </w:rPr>
        <w:t xml:space="preserve">, </w:t>
      </w:r>
      <w:r>
        <w:rPr>
          <w:rFonts w:ascii="Times New Roman" w:hAnsi="Times New Roman"/>
          <w:b/>
          <w:sz w:val="20"/>
        </w:rPr>
        <w:t>14.06</w:t>
      </w:r>
      <w:r>
        <w:rPr>
          <w:rFonts w:ascii="Times New Roman" w:hAnsi="Times New Roman"/>
          <w:sz w:val="20"/>
        </w:rPr>
        <w:t xml:space="preserve">, </w:t>
      </w:r>
      <w:r>
        <w:rPr>
          <w:rFonts w:ascii="Times New Roman" w:hAnsi="Times New Roman"/>
          <w:b/>
          <w:sz w:val="20"/>
        </w:rPr>
        <w:t>14.09</w:t>
      </w:r>
      <w:r>
        <w:rPr>
          <w:rFonts w:ascii="Times New Roman" w:hAnsi="Times New Roman"/>
          <w:sz w:val="20"/>
        </w:rPr>
        <w:t xml:space="preserve">, </w:t>
      </w:r>
      <w:r>
        <w:rPr>
          <w:rFonts w:ascii="Times New Roman" w:hAnsi="Times New Roman"/>
          <w:b/>
          <w:sz w:val="20"/>
        </w:rPr>
        <w:t>14.10</w:t>
      </w:r>
      <w:r>
        <w:rPr>
          <w:rFonts w:ascii="Times New Roman" w:hAnsi="Times New Roman"/>
          <w:sz w:val="20"/>
        </w:rPr>
        <w:t xml:space="preserve">, </w:t>
      </w:r>
      <w:r>
        <w:rPr>
          <w:rFonts w:ascii="Times New Roman" w:hAnsi="Times New Roman"/>
          <w:b/>
          <w:sz w:val="20"/>
        </w:rPr>
        <w:t>14.11</w:t>
      </w:r>
      <w:r>
        <w:rPr>
          <w:rFonts w:ascii="Times New Roman" w:hAnsi="Times New Roman"/>
          <w:sz w:val="20"/>
        </w:rPr>
        <w:t xml:space="preserve">, </w:t>
      </w:r>
      <w:r>
        <w:rPr>
          <w:rFonts w:ascii="Times New Roman" w:hAnsi="Times New Roman"/>
          <w:b/>
          <w:sz w:val="20"/>
        </w:rPr>
        <w:t>14.12</w:t>
      </w:r>
      <w:r>
        <w:rPr>
          <w:rFonts w:ascii="Times New Roman" w:hAnsi="Times New Roman"/>
          <w:sz w:val="20"/>
        </w:rPr>
        <w:t xml:space="preserve">, </w:t>
      </w:r>
      <w:r>
        <w:rPr>
          <w:rFonts w:ascii="Times New Roman" w:hAnsi="Times New Roman"/>
          <w:b/>
          <w:sz w:val="20"/>
        </w:rPr>
        <w:t>14.13</w:t>
      </w:r>
      <w:r>
        <w:rPr>
          <w:rFonts w:ascii="Times New Roman" w:hAnsi="Times New Roman"/>
          <w:sz w:val="20"/>
        </w:rPr>
        <w:t xml:space="preserve">, </w:t>
      </w:r>
      <w:r>
        <w:rPr>
          <w:rFonts w:ascii="Times New Roman" w:hAnsi="Times New Roman"/>
          <w:b/>
          <w:sz w:val="20"/>
        </w:rPr>
        <w:t>14.14</w:t>
      </w:r>
      <w:r>
        <w:rPr>
          <w:rFonts w:ascii="Times New Roman" w:hAnsi="Times New Roman"/>
          <w:sz w:val="20"/>
        </w:rPr>
        <w:t xml:space="preserve"> and the obligations of the Guarantors under </w:t>
      </w: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(solely to the extent guaranteeing any of the obligations under the foregoing Sections) shall survive the repayment of the Obligations and the termination of the Commitment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case of the Noteholders’ assignment of any interest in the Commitment or the Notes hereunder, shall survive, in the case of any event or circumstance that occurred prior to the effective date of such assignment, the making of such assignment, notwithstanding that the Noteholders may cease to be “Noteholders” hereunder. In addition, each representation and warranty made, or deemed to be made by a Notes Subscription Request, herein or pursuant hereto shall survive the making of such representation and warranty. </w:t>
      </w:r>
    </w:p>
    <w:p>
      <w:pPr>
        <w:pStyle w:val="TextBody"/>
        <w:bidi w:val="0"/>
        <w:spacing w:before="120" w:after="0"/>
        <w:jc w:val="left"/>
        <w:rPr>
          <w:rFonts w:ascii="Times New Roman" w:hAnsi="Times New Roman"/>
          <w:sz w:val="20"/>
        </w:rPr>
      </w:pPr>
      <w:r>
        <w:rPr>
          <w:rFonts w:ascii="Times New Roman" w:hAnsi="Times New Roman"/>
          <w:b/>
          <w:sz w:val="20"/>
        </w:rPr>
        <w:t>14.07</w:t>
      </w:r>
      <w:r>
        <w:rPr>
          <w:rFonts w:ascii="Times New Roman" w:hAnsi="Times New Roman"/>
          <w:sz w:val="20"/>
        </w:rPr>
        <w:t xml:space="preserve"> </w:t>
      </w:r>
      <w:r>
        <w:rPr>
          <w:rFonts w:ascii="Times New Roman" w:hAnsi="Times New Roman"/>
          <w:b/>
          <w:sz w:val="20"/>
        </w:rPr>
        <w:t>Captions</w:t>
      </w:r>
      <w:r>
        <w:rPr>
          <w:rFonts w:ascii="Times New Roman" w:hAnsi="Times New Roman"/>
          <w:sz w:val="20"/>
        </w:rPr>
        <w:t xml:space="preserve">. The table of contents and captions and section headings appearing herein are included solely for convenience of reference and are not intended to affect the interpretation of any provision of this Agreement. </w:t>
      </w:r>
    </w:p>
    <w:p>
      <w:pPr>
        <w:pStyle w:val="TextBody"/>
        <w:bidi w:val="0"/>
        <w:spacing w:before="120" w:after="0"/>
        <w:jc w:val="left"/>
        <w:rPr>
          <w:rFonts w:ascii="Times New Roman" w:hAnsi="Times New Roman"/>
          <w:sz w:val="20"/>
        </w:rPr>
      </w:pPr>
      <w:r>
        <w:rPr>
          <w:rFonts w:ascii="Times New Roman" w:hAnsi="Times New Roman"/>
          <w:b/>
          <w:sz w:val="20"/>
        </w:rPr>
        <w:t>14.08</w:t>
      </w:r>
      <w:r>
        <w:rPr>
          <w:rFonts w:ascii="Times New Roman" w:hAnsi="Times New Roman"/>
          <w:sz w:val="20"/>
        </w:rPr>
        <w:t xml:space="preserve"> </w:t>
      </w:r>
      <w:r>
        <w:rPr>
          <w:rFonts w:ascii="Times New Roman" w:hAnsi="Times New Roman"/>
          <w:b/>
          <w:sz w:val="20"/>
        </w:rPr>
        <w:t>Counterparts; Electronic Signatures</w:t>
      </w:r>
      <w:r>
        <w:rPr>
          <w:rFonts w:ascii="Times New Roman" w:hAnsi="Times New Roman"/>
          <w:sz w:val="20"/>
        </w:rPr>
        <w:t xml:space="preserve">.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to any other certificate, agreement or document related to this Agreement,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 Each party hereby consents to the execution of this Agreement by way of electronic signature. </w:t>
      </w:r>
    </w:p>
    <w:p>
      <w:pPr>
        <w:pStyle w:val="TextBody"/>
        <w:bidi w:val="0"/>
        <w:spacing w:before="120" w:after="0"/>
        <w:jc w:val="left"/>
        <w:rPr>
          <w:rFonts w:ascii="Times New Roman" w:hAnsi="Times New Roman"/>
          <w:sz w:val="20"/>
        </w:rPr>
      </w:pPr>
      <w:r>
        <w:rPr>
          <w:rFonts w:ascii="Times New Roman" w:hAnsi="Times New Roman"/>
          <w:b/>
          <w:sz w:val="20"/>
        </w:rPr>
        <w:t>14.09</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Agreement and the rights and obligations of the parties hereunder shall be governed by, and construed in accordance with, the law of the State of New York, without regard to principles of conflicts of laws that would result in the application of the laws of any other jurisdiction; </w:t>
      </w:r>
      <w:r>
        <w:rPr>
          <w:rFonts w:ascii="Times New Roman" w:hAnsi="Times New Roman"/>
          <w:sz w:val="20"/>
          <w:u w:val="single"/>
        </w:rPr>
        <w:t>provided</w:t>
      </w:r>
      <w:r>
        <w:rPr>
          <w:rFonts w:ascii="Times New Roman" w:hAnsi="Times New Roman"/>
          <w:sz w:val="20"/>
        </w:rPr>
        <w:t xml:space="preserve"> that Section 5-1401 of the New York General Obligations Law shall apply. </w:t>
      </w:r>
    </w:p>
    <w:p>
      <w:pPr>
        <w:pStyle w:val="TextBody"/>
        <w:bidi w:val="0"/>
        <w:spacing w:before="120" w:after="0"/>
        <w:jc w:val="left"/>
        <w:rPr>
          <w:rFonts w:ascii="Times New Roman" w:hAnsi="Times New Roman"/>
          <w:sz w:val="20"/>
        </w:rPr>
      </w:pPr>
      <w:r>
        <w:rPr>
          <w:rFonts w:ascii="Times New Roman" w:hAnsi="Times New Roman"/>
          <w:b/>
          <w:sz w:val="20"/>
        </w:rPr>
        <w:t>14.10</w:t>
      </w:r>
      <w:r>
        <w:rPr>
          <w:rFonts w:ascii="Times New Roman" w:hAnsi="Times New Roman"/>
          <w:sz w:val="20"/>
        </w:rPr>
        <w:t xml:space="preserve"> </w:t>
      </w:r>
      <w:r>
        <w:rPr>
          <w:rFonts w:ascii="Times New Roman" w:hAnsi="Times New Roman"/>
          <w:b/>
          <w:sz w:val="20"/>
        </w:rPr>
        <w:t>Jurisdiction, Service of Process and 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Submission to Jurisdiction</w:t>
      </w:r>
      <w:r>
        <w:rPr>
          <w:rFonts w:ascii="Times New Roman" w:hAnsi="Times New Roman"/>
          <w:sz w:val="20"/>
        </w:rPr>
        <w:t xml:space="preserve">. Each Obligor agrees that any suit, action or proceeding with respect to this Agreement or any other Notes Document to which it is a party or any judgment entered by any court in respect thereof may be brought initially in the federal or state courts in New York, New York and irrevocably submits to the non-exclusive jurisdiction of each such court for the purpose of any such suit, action, proceeding or judgment. This </w:t>
      </w:r>
      <w:r>
        <w:rPr>
          <w:rFonts w:ascii="Times New Roman" w:hAnsi="Times New Roman"/>
          <w:b/>
          <w:sz w:val="20"/>
        </w:rPr>
        <w:t>Section</w:t>
      </w:r>
      <w:r>
        <w:rPr>
          <w:rFonts w:ascii="Times New Roman" w:hAnsi="Times New Roman"/>
          <w:sz w:val="20"/>
        </w:rPr>
        <w:t> </w:t>
      </w:r>
      <w:r>
        <w:rPr>
          <w:rFonts w:ascii="Times New Roman" w:hAnsi="Times New Roman"/>
          <w:b/>
          <w:sz w:val="20"/>
        </w:rPr>
        <w:t>14.10(a)</w:t>
      </w:r>
      <w:r>
        <w:rPr>
          <w:rFonts w:ascii="Times New Roman" w:hAnsi="Times New Roman"/>
          <w:sz w:val="20"/>
        </w:rPr>
        <w:t xml:space="preserve"> is for the benefit of the Administrative Agent and the Noteholders only and, as a result, no Noteholder shall be prevented from taking proceedings in any other courts with jurisdiction. To the extent allowed by any applicable Law, the Noteholders may take concurrent proceedings in any number of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Alternative Process; Process Agent</w:t>
      </w:r>
      <w:r>
        <w:rPr>
          <w:rFonts w:ascii="Times New Roman" w:hAnsi="Times New Roman"/>
          <w:sz w:val="20"/>
        </w:rPr>
        <w:t xml:space="preserve">. Nothing herein shall in any way be deemed to limit the ability of the Administrative Agent and the Noteholders to serve any process or summons in any manner permitted by any applicable Law. Each Obligor that is organized under the laws of a jurisdiction outside the United States of America hereby appoints Autolus Inc., with an office at 15810 Gaither Drive, Suite 230, Gaithersburg, MD 20877-1440, as its agent for service of process in any matter related to this Agreement or the other Notes Documents, and Autolus Inc. hereby accepts such appointment by each such Obligor.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Waiver of Venue, Etc</w:t>
      </w:r>
      <w:r>
        <w:rPr>
          <w:rFonts w:ascii="Times New Roman" w:hAnsi="Times New Roman"/>
          <w:sz w:val="20"/>
        </w:rPr>
        <w:t xml:space="preserve">. Each Obligor irrevocably waives to the fullest extent permitted by law any objection that it may now or hereafter have to the laying of the venue of any suit, action or proceeding arising out of or relating to this Agreement or any other Notes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the Issuer is or may be subject, by suit upon judgment. </w:t>
      </w:r>
    </w:p>
    <w:p>
      <w:pPr>
        <w:pStyle w:val="TextBody"/>
        <w:bidi w:val="0"/>
        <w:spacing w:before="120" w:after="0"/>
        <w:jc w:val="left"/>
        <w:rPr>
          <w:rFonts w:ascii="Times New Roman" w:hAnsi="Times New Roman"/>
          <w:sz w:val="20"/>
        </w:rPr>
      </w:pPr>
      <w:r>
        <w:rPr>
          <w:rFonts w:ascii="Times New Roman" w:hAnsi="Times New Roman"/>
          <w:b/>
          <w:sz w:val="20"/>
        </w:rPr>
        <w:t>14.11</w:t>
      </w:r>
      <w:r>
        <w:rPr>
          <w:rFonts w:ascii="Times New Roman" w:hAnsi="Times New Roman"/>
          <w:sz w:val="20"/>
        </w:rPr>
        <w:t xml:space="preserve"> </w:t>
      </w:r>
      <w:r>
        <w:rPr>
          <w:rFonts w:ascii="Times New Roman" w:hAnsi="Times New Roman"/>
          <w:b/>
          <w:sz w:val="20"/>
        </w:rPr>
        <w:t>Waiver of Jury Trial</w:t>
      </w:r>
      <w:r>
        <w:rPr>
          <w:rFonts w:ascii="Times New Roman" w:hAnsi="Times New Roman"/>
          <w:sz w:val="20"/>
        </w:rPr>
        <w:t xml:space="preserve">. EACH PARTY HERETO HEREBY IRREVOCABLY WAIVES, TO THE FULLEST EXTENT PERMITTED BY APPLICABLE LAW, ANY AND ALL RIGHT TO TRIAL BY JURY IN ANY SUIT, ACTION OR PROCEEDING ARISING OUT OF OR RELATING TO THIS AGREEMENT, THE OTHER NOTES DOCUMENTS OR THE TRANSACTIONS CONTEMPLATED HEREBY OR THEREBY. </w:t>
      </w:r>
    </w:p>
    <w:p>
      <w:pPr>
        <w:pStyle w:val="TextBody"/>
        <w:bidi w:val="0"/>
        <w:spacing w:before="120" w:after="0"/>
        <w:jc w:val="left"/>
        <w:rPr>
          <w:rFonts w:ascii="Times New Roman" w:hAnsi="Times New Roman"/>
          <w:sz w:val="20"/>
        </w:rPr>
      </w:pPr>
      <w:r>
        <w:rPr>
          <w:rFonts w:ascii="Times New Roman" w:hAnsi="Times New Roman"/>
          <w:b/>
          <w:sz w:val="20"/>
        </w:rPr>
        <w:t>14.12</w:t>
      </w:r>
      <w:r>
        <w:rPr>
          <w:rFonts w:ascii="Times New Roman" w:hAnsi="Times New Roman"/>
          <w:sz w:val="20"/>
        </w:rPr>
        <w:t xml:space="preserve"> </w:t>
      </w:r>
      <w:r>
        <w:rPr>
          <w:rFonts w:ascii="Times New Roman" w:hAnsi="Times New Roman"/>
          <w:b/>
          <w:sz w:val="20"/>
        </w:rPr>
        <w:t>Waiver of Immunity</w:t>
      </w:r>
      <w:r>
        <w:rPr>
          <w:rFonts w:ascii="Times New Roman" w:hAnsi="Times New Roman"/>
          <w:sz w:val="20"/>
        </w:rPr>
        <w:t xml:space="preserve">.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Notes Documents. </w:t>
      </w:r>
    </w:p>
    <w:p>
      <w:pPr>
        <w:pStyle w:val="TextBody"/>
        <w:bidi w:val="0"/>
        <w:spacing w:before="120" w:after="0"/>
        <w:jc w:val="left"/>
        <w:rPr>
          <w:rFonts w:ascii="Times New Roman" w:hAnsi="Times New Roman"/>
          <w:sz w:val="20"/>
        </w:rPr>
      </w:pPr>
      <w:r>
        <w:rPr>
          <w:rFonts w:ascii="Times New Roman" w:hAnsi="Times New Roman"/>
          <w:b/>
          <w:sz w:val="20"/>
        </w:rPr>
        <w:t>14.13</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and the other Notes Documents constitute the entire agreement among the parties with respect to the subject matter hereof and thereof and supersede any and all previous agreements and understandings, oral or written, relating to the subject matter hereof, including (a) any confidentiality (or similar) agreements and (b) the Proposal Letter. EACH OBLIGOR ACKNOWLEDGES, REPRESENTS AND WARRANTS THAT IN DECIDING TO ENTER INTO THIS AGREEMENT AND THE OTHER NOTES DOCUMENTS OR IN TAKING OR NOT TAKING ANY ACTION HEREUNDER OR THEREUNDER, IT HAS NOT RELIED, AND SHALL NOT RELY, ON ANY STATEMENT, REPRESENTATION, WARRANTY, COVENANT, AGREEMENT OR UNDERSTANDING, WHETHER WRITTEN OR ORAL, OF OR WITH ADMINISTRATIVE AGENT OR THE NOTEHOLDERS OTHER THAN THOSE EXPRESSLY SET FORTH IN THIS AGREEMENT AND THE OTHER NOTES DOCUMENTS. </w:t>
      </w:r>
    </w:p>
    <w:p>
      <w:pPr>
        <w:pStyle w:val="TextBody"/>
        <w:bidi w:val="0"/>
        <w:spacing w:before="120" w:after="0"/>
        <w:jc w:val="left"/>
        <w:rPr>
          <w:rFonts w:ascii="Times New Roman" w:hAnsi="Times New Roman"/>
          <w:sz w:val="20"/>
        </w:rPr>
      </w:pPr>
      <w:r>
        <w:rPr>
          <w:rFonts w:ascii="Times New Roman" w:hAnsi="Times New Roman"/>
          <w:b/>
          <w:sz w:val="20"/>
        </w:rPr>
        <w:t>14.14</w:t>
      </w:r>
      <w:r>
        <w:rPr>
          <w:rFonts w:ascii="Times New Roman" w:hAnsi="Times New Roman"/>
          <w:sz w:val="20"/>
        </w:rPr>
        <w:t xml:space="preserve"> </w:t>
      </w:r>
      <w:r>
        <w:rPr>
          <w:rFonts w:ascii="Times New Roman" w:hAnsi="Times New Roman"/>
          <w:b/>
          <w:sz w:val="20"/>
        </w:rPr>
        <w:t>Severability</w:t>
      </w:r>
      <w:r>
        <w:rPr>
          <w:rFonts w:ascii="Times New Roman" w:hAnsi="Times New Roman"/>
          <w:sz w:val="20"/>
        </w:rPr>
        <w:t xml:space="preserve">. If any provision hereof is found by a court to be invalid or unenforceable, to the fullest extent permitted by any applicable Law the parties agree that such invalidity or unenforceability shall not impair the validity or enforceability of any other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14.15</w:t>
      </w:r>
      <w:r>
        <w:rPr>
          <w:rFonts w:ascii="Times New Roman" w:hAnsi="Times New Roman"/>
          <w:sz w:val="20"/>
        </w:rPr>
        <w:t xml:space="preserve"> </w:t>
      </w:r>
      <w:r>
        <w:rPr>
          <w:rFonts w:ascii="Times New Roman" w:hAnsi="Times New Roman"/>
          <w:b/>
          <w:sz w:val="20"/>
        </w:rPr>
        <w:t>No Fiduciary Relationship</w:t>
      </w:r>
      <w:r>
        <w:rPr>
          <w:rFonts w:ascii="Times New Roman" w:hAnsi="Times New Roman"/>
          <w:sz w:val="20"/>
        </w:rPr>
        <w:t xml:space="preserve">. The Issuer acknowledges that the Administrative Agent and the Noteholders have no fiduciary relationship with, or fiduciary duty to, the Issuer arising out of or in connection with this Agreement or the other Notes Documents, and the relationship between the Noteholders and the Issuer is solely that of creditor and debtor. This Agreement and the other Notes Documents do not create a joint venture among the parties. </w:t>
      </w:r>
    </w:p>
    <w:p>
      <w:pPr>
        <w:pStyle w:val="TextBody"/>
        <w:bidi w:val="0"/>
        <w:spacing w:before="120" w:after="0"/>
        <w:jc w:val="left"/>
        <w:rPr>
          <w:rFonts w:ascii="Times New Roman" w:hAnsi="Times New Roman"/>
          <w:sz w:val="20"/>
        </w:rPr>
      </w:pPr>
      <w:r>
        <w:rPr>
          <w:rFonts w:ascii="Times New Roman" w:hAnsi="Times New Roman"/>
          <w:b/>
          <w:sz w:val="20"/>
        </w:rPr>
        <w:t>14.16</w:t>
      </w:r>
      <w:r>
        <w:rPr>
          <w:rFonts w:ascii="Times New Roman" w:hAnsi="Times New Roman"/>
          <w:sz w:val="20"/>
        </w:rPr>
        <w:t xml:space="preserve"> </w:t>
      </w:r>
      <w:r>
        <w:rPr>
          <w:rFonts w:ascii="Times New Roman" w:hAnsi="Times New Roman"/>
          <w:b/>
          <w:sz w:val="20"/>
        </w:rPr>
        <w:t>Confidentiality</w:t>
      </w:r>
      <w:r>
        <w:rPr>
          <w:rFonts w:ascii="Times New Roman" w:hAnsi="Times New Roman"/>
          <w:sz w:val="20"/>
        </w:rPr>
        <w:t xml:space="preserve">. The Administrative Agent and each Noteholder agree to keep confidential all non-public and other confidential information provided to them in writing by any Obligor pursuant to this Agreement that is designated by such Obligor as confidential in accordance with its customary procedures for handling its own confidential information; </w:t>
      </w:r>
      <w:r>
        <w:rPr>
          <w:rFonts w:ascii="Times New Roman" w:hAnsi="Times New Roman"/>
          <w:sz w:val="20"/>
          <w:u w:val="single"/>
        </w:rPr>
        <w:t>provided</w:t>
      </w:r>
      <w:r>
        <w:rPr>
          <w:rFonts w:ascii="Times New Roman" w:hAnsi="Times New Roman"/>
          <w:sz w:val="20"/>
        </w:rPr>
        <w:t xml:space="preserve"> that nothing herein shall prevent the Administrative Agent or any Noteholder from disclosing any such information (i) subject to an agreement to comply with the provisions of this Section, to the Administrative Agent, any other Noteholder, any Affiliate of a Noteholder or any Eligible Transferee or other assignee permitted under </w:t>
      </w:r>
      <w:r>
        <w:rPr>
          <w:rFonts w:ascii="Times New Roman" w:hAnsi="Times New Roman"/>
          <w:b/>
          <w:sz w:val="20"/>
        </w:rPr>
        <w:t>Section</w:t>
      </w:r>
      <w:r>
        <w:rPr>
          <w:rFonts w:ascii="Times New Roman" w:hAnsi="Times New Roman"/>
          <w:sz w:val="20"/>
        </w:rPr>
        <w:t> </w:t>
      </w:r>
      <w:r>
        <w:rPr>
          <w:rFonts w:ascii="Times New Roman" w:hAnsi="Times New Roman"/>
          <w:b/>
          <w:sz w:val="20"/>
        </w:rPr>
        <w:t>14.05(b)</w:t>
      </w:r>
      <w:r>
        <w:rPr>
          <w:rFonts w:ascii="Times New Roman" w:hAnsi="Times New Roman"/>
          <w:sz w:val="20"/>
        </w:rPr>
        <w:t>, (ii) subject to an agreement to comply with the provisions of this Section, to any actual or prospective direct or indirect counterparty to any Hedging Agreement (or any professional advisor to such counterparty), (iii) to its employees, officers, directors, agents, attorneys, accountants, trustees and other professional advisors or those of any of its affiliates (collectively, its “</w:t>
      </w:r>
      <w:r>
        <w:rPr>
          <w:rFonts w:ascii="Times New Roman" w:hAnsi="Times New Roman"/>
          <w:b/>
          <w:i/>
          <w:sz w:val="20"/>
        </w:rPr>
        <w:t>Related Parties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Related Parties are subject to obligations of confidentiality at least as restrictive as set forth in this </w:t>
      </w:r>
      <w:r>
        <w:rPr>
          <w:rFonts w:ascii="Times New Roman" w:hAnsi="Times New Roman"/>
          <w:b/>
          <w:sz w:val="20"/>
        </w:rPr>
        <w:t>Section</w:t>
      </w:r>
      <w:r>
        <w:rPr>
          <w:rFonts w:ascii="Times New Roman" w:hAnsi="Times New Roman"/>
          <w:sz w:val="20"/>
        </w:rPr>
        <w:t> </w:t>
      </w:r>
      <w:r>
        <w:rPr>
          <w:rFonts w:ascii="Times New Roman" w:hAnsi="Times New Roman"/>
          <w:b/>
          <w:sz w:val="20"/>
        </w:rPr>
        <w:t>14.16</w:t>
      </w:r>
      <w:r>
        <w:rPr>
          <w:rFonts w:ascii="Times New Roman" w:hAnsi="Times New Roman"/>
          <w:sz w:val="20"/>
        </w:rPr>
        <w:t xml:space="preserve">, and the applicable Noteholder shall remain liable hereunder for any breach of this Section 14.16 by any of its Related Parties, (iv) upon the request or demand of any Governmental Authority or any Governmental Authority having jurisdiction over such Person or its Related Parties (including any self-regulatory authority, such as the National Association of Insurance Commissioners), (v) in response to any order of any court or other Governmental Authority or as may otherwise be required pursuant to any applicable Law, (vi) if requested or required to do so in connection with any litigation or similar proceeding; </w:t>
      </w:r>
      <w:r>
        <w:rPr>
          <w:rFonts w:ascii="Times New Roman" w:hAnsi="Times New Roman"/>
          <w:sz w:val="20"/>
          <w:u w:val="single"/>
        </w:rPr>
        <w:t>provided</w:t>
      </w:r>
      <w:r>
        <w:rPr>
          <w:rFonts w:ascii="Times New Roman" w:hAnsi="Times New Roman"/>
          <w:sz w:val="20"/>
        </w:rPr>
        <w:t xml:space="preserve"> that, unless otherwise prohibited by applicable Law, court order or decree, the Administrative Agent and each Noteholder, as applicable, shall provide prior notice to the Obligor to allow such Obligor an opportunity to obtain a protective order, (vii) that has been publicly disclosed (other than as a result of a disclosure in violation of this </w:t>
      </w:r>
      <w:r>
        <w:rPr>
          <w:rFonts w:ascii="Times New Roman" w:hAnsi="Times New Roman"/>
          <w:b/>
          <w:sz w:val="20"/>
        </w:rPr>
        <w:t>Section</w:t>
      </w:r>
      <w:r>
        <w:rPr>
          <w:rFonts w:ascii="Times New Roman" w:hAnsi="Times New Roman"/>
          <w:sz w:val="20"/>
        </w:rPr>
        <w:t> </w:t>
      </w:r>
      <w:r>
        <w:rPr>
          <w:rFonts w:ascii="Times New Roman" w:hAnsi="Times New Roman"/>
          <w:b/>
          <w:sz w:val="20"/>
        </w:rPr>
        <w:t>14.16</w:t>
      </w:r>
      <w:r>
        <w:rPr>
          <w:rFonts w:ascii="Times New Roman" w:hAnsi="Times New Roman"/>
          <w:sz w:val="20"/>
        </w:rPr>
        <w:t xml:space="preserve">), (viii) to the National Association of Insurance Commissioners or any similar organization or any nationally recognized rating agency that requires access to information about a Noteholder’s investment portfolio in connection with ratings issued with respect to such Noteholder, (ix) in connection with the exercise of any remedy permitted hereunder or under any other Notes Document, (x) on a confidential basis to (A) any rating agency in connection with rating the Issuer or any of its Subsidiaries or the Notes or (B) the CUSIP Service Bureau or any similar agency in connection with the issuance and monitoring of CUSIP numbers of other market identifiers with respect to the Notes or (xi) to any other party hereto. </w:t>
      </w:r>
    </w:p>
    <w:p>
      <w:pPr>
        <w:pStyle w:val="TextBody"/>
        <w:bidi w:val="0"/>
        <w:spacing w:before="120" w:after="0"/>
        <w:jc w:val="left"/>
        <w:rPr>
          <w:rFonts w:ascii="Times New Roman" w:hAnsi="Times New Roman"/>
          <w:sz w:val="20"/>
        </w:rPr>
      </w:pPr>
      <w:r>
        <w:rPr>
          <w:rFonts w:ascii="Times New Roman" w:hAnsi="Times New Roman"/>
          <w:b/>
          <w:sz w:val="20"/>
        </w:rPr>
        <w:t>14.17</w:t>
      </w:r>
      <w:r>
        <w:rPr>
          <w:rFonts w:ascii="Times New Roman" w:hAnsi="Times New Roman"/>
          <w:sz w:val="20"/>
        </w:rPr>
        <w:t xml:space="preserve"> </w:t>
      </w:r>
      <w:r>
        <w:rPr>
          <w:rFonts w:ascii="Times New Roman" w:hAnsi="Times New Roman"/>
          <w:b/>
          <w:sz w:val="20"/>
        </w:rPr>
        <w:t>Interest Rate Limitation</w:t>
      </w:r>
      <w:r>
        <w:rPr>
          <w:rFonts w:ascii="Times New Roman" w:hAnsi="Times New Roman"/>
          <w:sz w:val="20"/>
        </w:rPr>
        <w:t>. Notwithstanding anything herein to the contrary, if at any time the interest rate applicable to any Notes, together with all fees, charges and other amounts that are treated as interest on such Notes under applicable Law (collectively, “</w:t>
      </w:r>
      <w:r>
        <w:rPr>
          <w:rFonts w:ascii="Times New Roman" w:hAnsi="Times New Roman"/>
          <w:b/>
          <w:i/>
          <w:sz w:val="20"/>
        </w:rPr>
        <w:t>charges</w:t>
      </w:r>
      <w:r>
        <w:rPr>
          <w:rFonts w:ascii="Times New Roman" w:hAnsi="Times New Roman"/>
          <w:sz w:val="20"/>
        </w:rPr>
        <w:t>”), shall exceed the maximum lawful rate (the “</w:t>
      </w:r>
      <w:r>
        <w:rPr>
          <w:rFonts w:ascii="Times New Roman" w:hAnsi="Times New Roman"/>
          <w:b/>
          <w:i/>
          <w:sz w:val="20"/>
        </w:rPr>
        <w:t>Maximum Rate</w:t>
      </w:r>
      <w:r>
        <w:rPr>
          <w:rFonts w:ascii="Times New Roman" w:hAnsi="Times New Roman"/>
          <w:sz w:val="20"/>
        </w:rPr>
        <w:t xml:space="preserve">”) that may be contracted for, charged, taken, received or reserved by the Administrative Agent and the Noteholder holding such Notes in accordance with applicable Law, the rate of interest payable in respect of such Notes hereunder, together with all charges payable in respect thereof, shall be limited to the Maximum Rate. To the extent lawful, the interest and charges that would have been paid in respect of such Notes but were not paid as a result of the operation of this Section shall be cumulated and the interest and charges payable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Noteholder in respect of other Notes or periods shall be increased (but not above the amount collectible at the Maximum Rate therefor) until such cumulated amount, together with interest thereon at the Federal Funds Effective Rate for each day to the date of repayment, shall have been received by such Noteholder. Any amount collected by such Noteholder that exceeds the maximum amount collectible at the Maximum Rate shall be applied to the reduction of the principal balance of such Notes so that at no time shall the interest and charges paid or payable in respect of such Notes exceed the maximum amount collectible at the Maximum Rate. </w:t>
      </w:r>
    </w:p>
    <w:p>
      <w:pPr>
        <w:pStyle w:val="TextBody"/>
        <w:bidi w:val="0"/>
        <w:spacing w:before="120" w:after="0"/>
        <w:jc w:val="left"/>
        <w:rPr>
          <w:rFonts w:ascii="Times New Roman" w:hAnsi="Times New Roman"/>
          <w:sz w:val="20"/>
        </w:rPr>
      </w:pPr>
      <w:r>
        <w:rPr>
          <w:rFonts w:ascii="Times New Roman" w:hAnsi="Times New Roman"/>
          <w:b/>
          <w:sz w:val="20"/>
        </w:rPr>
        <w:t>14.18</w:t>
      </w:r>
      <w:r>
        <w:rPr>
          <w:rFonts w:ascii="Times New Roman" w:hAnsi="Times New Roman"/>
          <w:sz w:val="20"/>
        </w:rPr>
        <w:t xml:space="preserve"> </w:t>
      </w:r>
      <w:r>
        <w:rPr>
          <w:rFonts w:ascii="Times New Roman" w:hAnsi="Times New Roman"/>
          <w:b/>
          <w:sz w:val="20"/>
        </w:rPr>
        <w:t>Early Redemption Fee</w:t>
      </w:r>
      <w:r>
        <w:rPr>
          <w:rFonts w:ascii="Times New Roman" w:hAnsi="Times New Roman"/>
          <w:sz w:val="20"/>
        </w:rPr>
        <w:t xml:space="preserve">. The parties hereto acknowledge and agree that, to the extent the Early Redemption Fee is applicable to any repurchase, repayment or redemption of principal of any Notes at any time, such Early Redemption Fee is not intended to be a penalty assessed as a result of any such repurchase, repayment or redemption of the Notes, but rather is the product of a good faith, arm’s length commercial negotiation between the Issuer and the Noteholders relating to the mutually satisfactory compensation payable to the Noteholders by the Issuer in respect of the Notes made hereunder. In furtherance of the foregoing, to the fullest extent permitted by applicable Law, the Obligors hereby jointly and severally waive any rights or Claims any of them may have under any such applicable Law (whether or not in effect on the Closing Date) that would prohibit or restrict the payment of the Early Redemption Fee under any of the circumstances provided herein or in any other Notes Document, including payment after acceleration of the Notes. </w:t>
      </w:r>
    </w:p>
    <w:p>
      <w:pPr>
        <w:pStyle w:val="TextBody"/>
        <w:bidi w:val="0"/>
        <w:spacing w:before="120" w:after="0"/>
        <w:jc w:val="left"/>
        <w:rPr>
          <w:rFonts w:ascii="Times New Roman" w:hAnsi="Times New Roman"/>
          <w:sz w:val="20"/>
        </w:rPr>
      </w:pPr>
      <w:r>
        <w:rPr>
          <w:rFonts w:ascii="Times New Roman" w:hAnsi="Times New Roman"/>
          <w:b/>
          <w:sz w:val="20"/>
        </w:rPr>
        <w:t>14.19</w:t>
      </w:r>
      <w:r>
        <w:rPr>
          <w:rFonts w:ascii="Times New Roman" w:hAnsi="Times New Roman"/>
          <w:sz w:val="20"/>
        </w:rPr>
        <w:t xml:space="preserve"> </w:t>
      </w:r>
      <w:r>
        <w:rPr>
          <w:rFonts w:ascii="Times New Roman" w:hAnsi="Times New Roman"/>
          <w:b/>
          <w:sz w:val="20"/>
        </w:rPr>
        <w:t>Judgment Currency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 </w:t>
      </w:r>
    </w:p>
    <w:p>
      <w:pPr>
        <w:pStyle w:val="TextBody"/>
        <w:bidi w:val="0"/>
        <w:spacing w:before="120" w:after="0"/>
        <w:jc w:val="left"/>
        <w:rPr>
          <w:rFonts w:ascii="Times New Roman" w:hAnsi="Times New Roman"/>
          <w:sz w:val="20"/>
        </w:rPr>
      </w:pPr>
      <w:r>
        <w:rPr>
          <w:rFonts w:ascii="Times New Roman" w:hAnsi="Times New Roman"/>
          <w:sz w:val="20"/>
        </w:rPr>
        <w:t xml:space="preserve">(b) The obligations of the Obligors in respect of any sum due to the Administrative Agent hereunder and under the other Notes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Issuer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Issuer. </w:t>
      </w:r>
    </w:p>
    <w:p>
      <w:pPr>
        <w:pStyle w:val="TextBody"/>
        <w:bidi w:val="0"/>
        <w:spacing w:before="120" w:after="0"/>
        <w:jc w:val="left"/>
        <w:rPr>
          <w:rFonts w:ascii="Times New Roman" w:hAnsi="Times New Roman"/>
          <w:sz w:val="20"/>
        </w:rPr>
      </w:pPr>
      <w:r>
        <w:rPr>
          <w:rFonts w:ascii="Times New Roman" w:hAnsi="Times New Roman"/>
          <w:b/>
          <w:sz w:val="20"/>
        </w:rPr>
        <w:t>14.20</w:t>
      </w:r>
      <w:r>
        <w:rPr>
          <w:rFonts w:ascii="Times New Roman" w:hAnsi="Times New Roman"/>
          <w:sz w:val="20"/>
        </w:rPr>
        <w:t xml:space="preserve"> </w:t>
      </w:r>
      <w:r>
        <w:rPr>
          <w:rFonts w:ascii="Times New Roman" w:hAnsi="Times New Roman"/>
          <w:b/>
          <w:sz w:val="20"/>
        </w:rPr>
        <w:t>USA PATRIOT Act</w:t>
      </w:r>
      <w:r>
        <w:rPr>
          <w:rFonts w:ascii="Times New Roman" w:hAnsi="Times New Roman"/>
          <w:sz w:val="20"/>
        </w:rPr>
        <w:t>. The Administrative Agent and the Noteholders hereby notify the Obligors that pursuant to the requirements of the USA PATRIOT Act (Title III of Pub. L. 107-56 (signed into law October 26, 2001)) (the “</w:t>
      </w:r>
      <w:r>
        <w:rPr>
          <w:rFonts w:ascii="Times New Roman" w:hAnsi="Times New Roman"/>
          <w:b/>
          <w:i/>
          <w:sz w:val="20"/>
        </w:rPr>
        <w:t>Patriot</w:t>
      </w:r>
      <w:r>
        <w:rPr>
          <w:rFonts w:ascii="Times New Roman" w:hAnsi="Times New Roman"/>
          <w:sz w:val="20"/>
        </w:rPr>
        <w:t xml:space="preserve"> </w:t>
      </w:r>
      <w:r>
        <w:rPr>
          <w:rFonts w:ascii="Times New Roman" w:hAnsi="Times New Roman"/>
          <w:b/>
          <w:i/>
          <w:sz w:val="20"/>
        </w:rPr>
        <w:t>Act</w:t>
      </w:r>
      <w:r>
        <w:rPr>
          <w:rFonts w:ascii="Times New Roman" w:hAnsi="Times New Roman"/>
          <w:sz w:val="20"/>
        </w:rPr>
        <w:t xml:space="preserve">”), they are required to obtain, verify and record information that identifies the Obligors, which information includes the name and address of each Obligor and other information that will allow such Person to identify such Obligor in accordance with the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14.21</w:t>
      </w:r>
      <w:r>
        <w:rPr>
          <w:rFonts w:ascii="Times New Roman" w:hAnsi="Times New Roman"/>
          <w:sz w:val="20"/>
        </w:rPr>
        <w:t xml:space="preserve"> </w:t>
      </w:r>
      <w:r>
        <w:rPr>
          <w:rFonts w:ascii="Times New Roman" w:hAnsi="Times New Roman"/>
          <w:b/>
          <w:sz w:val="20"/>
        </w:rPr>
        <w:t>Acknowledgement and Consent to Bail-In of Affected Financial Institutions</w:t>
      </w:r>
      <w:r>
        <w:rPr>
          <w:rFonts w:ascii="Times New Roman" w:hAnsi="Times New Roman"/>
          <w:sz w:val="20"/>
        </w:rPr>
        <w:t xml:space="preserve">. Notwithstanding anything to the contrary in any Notes Document or in any other agreement, arrangement or understanding among any such parties, each party hereto acknowledges that any liability of any Affected Financial Institution arising under any Notes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EEA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Notes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4"/>
        <w:gridCol w:w="60"/>
        <w:gridCol w:w="3718"/>
      </w:tblGrid>
      <w:tr>
        <w:trPr/>
        <w:tc>
          <w:tcPr>
            <w:tcW w:w="3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ISSUER: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THERAPEUTICS PLC</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Chirstian Itin</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Christian Itin</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Limited</w:t>
            </w:r>
          </w:p>
        </w:tc>
      </w:tr>
      <w:tr>
        <w:trPr/>
        <w:tc>
          <w:tcPr>
            <w:tcW w:w="4082" w:type="dxa"/>
            <w:gridSpan w:val="3"/>
            <w:tcBorders/>
          </w:tcPr>
          <w:p>
            <w:pPr>
              <w:pStyle w:val="TableContents"/>
              <w:bidi w:val="0"/>
              <w:spacing w:before="0" w:after="283"/>
              <w:jc w:val="left"/>
              <w:rPr/>
            </w:pPr>
            <w:r>
              <w:rPr/>
              <w:t>The MediaWorks</w:t>
            </w:r>
          </w:p>
        </w:tc>
      </w:tr>
      <w:tr>
        <w:trPr/>
        <w:tc>
          <w:tcPr>
            <w:tcW w:w="4082" w:type="dxa"/>
            <w:gridSpan w:val="3"/>
            <w:tcBorders/>
          </w:tcPr>
          <w:p>
            <w:pPr>
              <w:pStyle w:val="TableContents"/>
              <w:bidi w:val="0"/>
              <w:spacing w:before="0" w:after="283"/>
              <w:jc w:val="left"/>
              <w:rPr/>
            </w:pPr>
            <w:r>
              <w:rPr/>
              <w:t>191 Wood Lane</w:t>
            </w:r>
          </w:p>
        </w:tc>
      </w:tr>
      <w:tr>
        <w:trPr/>
        <w:tc>
          <w:tcPr>
            <w:tcW w:w="4082" w:type="dxa"/>
            <w:gridSpan w:val="3"/>
            <w:tcBorders/>
          </w:tcPr>
          <w:p>
            <w:pPr>
              <w:pStyle w:val="TableContents"/>
              <w:bidi w:val="0"/>
              <w:spacing w:before="0" w:after="283"/>
              <w:jc w:val="left"/>
              <w:rPr/>
            </w:pPr>
            <w:r>
              <w:rPr/>
              <w:t>London W12 7FP, United Kingdom</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GUARANTORS: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HOLDINGS (UK) LIMITED</w:t>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Chirstian Itin</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Name: Christian Itin</w:t>
            </w:r>
          </w:p>
        </w:tc>
      </w:tr>
      <w:tr>
        <w:trPr/>
        <w:tc>
          <w:tcPr>
            <w:tcW w:w="3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8"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Limited</w:t>
            </w:r>
          </w:p>
        </w:tc>
      </w:tr>
      <w:tr>
        <w:trPr/>
        <w:tc>
          <w:tcPr>
            <w:tcW w:w="4082" w:type="dxa"/>
            <w:gridSpan w:val="3"/>
            <w:tcBorders/>
          </w:tcPr>
          <w:p>
            <w:pPr>
              <w:pStyle w:val="TableContents"/>
              <w:bidi w:val="0"/>
              <w:spacing w:before="0" w:after="283"/>
              <w:jc w:val="left"/>
              <w:rPr/>
            </w:pPr>
            <w:r>
              <w:rPr/>
              <w:t>The MediaWorks</w:t>
            </w:r>
          </w:p>
        </w:tc>
      </w:tr>
      <w:tr>
        <w:trPr/>
        <w:tc>
          <w:tcPr>
            <w:tcW w:w="4082" w:type="dxa"/>
            <w:gridSpan w:val="3"/>
            <w:tcBorders/>
          </w:tcPr>
          <w:p>
            <w:pPr>
              <w:pStyle w:val="TableContents"/>
              <w:bidi w:val="0"/>
              <w:spacing w:before="0" w:after="283"/>
              <w:jc w:val="left"/>
              <w:rPr/>
            </w:pPr>
            <w:r>
              <w:rPr/>
              <w:t>191 Wood Lane</w:t>
            </w:r>
          </w:p>
        </w:tc>
      </w:tr>
      <w:tr>
        <w:trPr/>
        <w:tc>
          <w:tcPr>
            <w:tcW w:w="4082" w:type="dxa"/>
            <w:gridSpan w:val="3"/>
            <w:tcBorders/>
          </w:tcPr>
          <w:p>
            <w:pPr>
              <w:pStyle w:val="TableContents"/>
              <w:bidi w:val="0"/>
              <w:spacing w:before="0" w:after="283"/>
              <w:jc w:val="left"/>
              <w:rPr/>
            </w:pPr>
            <w:r>
              <w:rPr/>
              <w:t>London W12 7FP, United Kingdom</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Note Purchase Agreement and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401"/>
        <w:gridCol w:w="3281"/>
      </w:tblGrid>
      <w:tr>
        <w:trPr/>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LIMITED</w:t>
            </w:r>
          </w:p>
        </w:tc>
      </w:tr>
    </w:tbl>
    <w:tbl>
      <w:tblPr>
        <w:tblW w:w="2000" w:type="pct"/>
        <w:jc w:val="right"/>
        <w:tblInd w:w="0" w:type="dxa"/>
        <w:tblLayout w:type="fixed"/>
        <w:tblCellMar>
          <w:top w:w="0" w:type="dxa"/>
          <w:left w:w="0" w:type="dxa"/>
          <w:bottom w:w="0" w:type="dxa"/>
          <w:right w:w="0" w:type="dxa"/>
        </w:tblCellMar>
      </w:tblPr>
      <w:tblGrid>
        <w:gridCol w:w="310"/>
        <w:gridCol w:w="61"/>
        <w:gridCol w:w="3711"/>
      </w:tblGrid>
      <w:tr>
        <w:trPr/>
        <w:tc>
          <w:tcPr>
            <w:tcW w:w="3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10" w:type="dxa"/>
            <w:tcBorders/>
            <w:vAlign w:val="center"/>
          </w:tcPr>
          <w:p>
            <w:pPr>
              <w:pStyle w:val="TableContents"/>
              <w:bidi w:val="0"/>
              <w:spacing w:before="0" w:after="283"/>
              <w:jc w:val="left"/>
              <w:rPr>
                <w:sz w:val="4"/>
                <w:szCs w:val="4"/>
              </w:rPr>
            </w:pPr>
            <w:r>
              <w:rPr>
                <w:sz w:val="4"/>
                <w:szCs w:val="4"/>
              </w:rPr>
            </w:r>
          </w:p>
        </w:tc>
        <w:tc>
          <w:tcPr>
            <w:tcW w:w="3772" w:type="dxa"/>
            <w:gridSpan w:val="2"/>
            <w:tcBorders/>
            <w:vAlign w:val="center"/>
          </w:tcPr>
          <w:p>
            <w:pPr>
              <w:pStyle w:val="TableContents"/>
              <w:bidi w:val="0"/>
              <w:spacing w:before="0" w:after="283"/>
              <w:jc w:val="left"/>
              <w:rPr>
                <w:sz w:val="4"/>
                <w:szCs w:val="4"/>
              </w:rPr>
            </w:pPr>
            <w:r>
              <w:rPr>
                <w:sz w:val="4"/>
                <w:szCs w:val="4"/>
              </w:rPr>
            </w:r>
          </w:p>
        </w:tc>
      </w:tr>
      <w:tr>
        <w:trPr/>
        <w:tc>
          <w:tcPr>
            <w:tcW w:w="31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Chirstian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Name: Christian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Limited</w:t>
            </w:r>
          </w:p>
        </w:tc>
      </w:tr>
      <w:tr>
        <w:trPr/>
        <w:tc>
          <w:tcPr>
            <w:tcW w:w="4082" w:type="dxa"/>
            <w:gridSpan w:val="3"/>
            <w:tcBorders/>
          </w:tcPr>
          <w:p>
            <w:pPr>
              <w:pStyle w:val="TableContents"/>
              <w:bidi w:val="0"/>
              <w:spacing w:before="0" w:after="283"/>
              <w:jc w:val="left"/>
              <w:rPr/>
            </w:pPr>
            <w:r>
              <w:rPr/>
              <w:t>The MediaWorks</w:t>
            </w:r>
          </w:p>
        </w:tc>
      </w:tr>
      <w:tr>
        <w:trPr/>
        <w:tc>
          <w:tcPr>
            <w:tcW w:w="4082" w:type="dxa"/>
            <w:gridSpan w:val="3"/>
            <w:tcBorders/>
          </w:tcPr>
          <w:p>
            <w:pPr>
              <w:pStyle w:val="TableContents"/>
              <w:bidi w:val="0"/>
              <w:spacing w:before="0" w:after="283"/>
              <w:jc w:val="left"/>
              <w:rPr/>
            </w:pPr>
            <w:r>
              <w:rPr/>
              <w:t>191 Wood Lane</w:t>
            </w:r>
          </w:p>
        </w:tc>
      </w:tr>
      <w:tr>
        <w:trPr/>
        <w:tc>
          <w:tcPr>
            <w:tcW w:w="4082" w:type="dxa"/>
            <w:gridSpan w:val="3"/>
            <w:tcBorders/>
          </w:tcPr>
          <w:p>
            <w:pPr>
              <w:pStyle w:val="TableContents"/>
              <w:bidi w:val="0"/>
              <w:spacing w:before="0" w:after="283"/>
              <w:jc w:val="left"/>
              <w:rPr/>
            </w:pPr>
            <w:r>
              <w:rPr/>
              <w:t>London W12 7FP, United Kingdom</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INC.</w:t>
            </w:r>
          </w:p>
        </w:tc>
      </w:tr>
      <w:tr>
        <w:trPr>
          <w:trHeight w:val="240" w:hRule="atLeast"/>
        </w:trPr>
        <w:tc>
          <w:tcPr>
            <w:tcW w:w="310" w:type="dxa"/>
            <w:tcBorders/>
            <w:vAlign w:val="center"/>
          </w:tcPr>
          <w:p>
            <w:pPr>
              <w:pStyle w:val="TableContents"/>
              <w:bidi w:val="0"/>
              <w:spacing w:before="0" w:after="283"/>
              <w:jc w:val="left"/>
              <w:rPr>
                <w:sz w:val="4"/>
                <w:szCs w:val="4"/>
              </w:rPr>
            </w:pPr>
            <w:r>
              <w:rPr>
                <w:sz w:val="4"/>
                <w:szCs w:val="4"/>
              </w:rPr>
            </w:r>
          </w:p>
        </w:tc>
        <w:tc>
          <w:tcPr>
            <w:tcW w:w="3772" w:type="dxa"/>
            <w:gridSpan w:val="2"/>
            <w:tcBorders/>
            <w:vAlign w:val="center"/>
          </w:tcPr>
          <w:p>
            <w:pPr>
              <w:pStyle w:val="TableContents"/>
              <w:bidi w:val="0"/>
              <w:spacing w:before="0" w:after="283"/>
              <w:jc w:val="left"/>
              <w:rPr>
                <w:sz w:val="4"/>
                <w:szCs w:val="4"/>
              </w:rPr>
            </w:pPr>
            <w:r>
              <w:rPr>
                <w:sz w:val="4"/>
                <w:szCs w:val="4"/>
              </w:rPr>
            </w:r>
          </w:p>
        </w:tc>
      </w:tr>
      <w:tr>
        <w:trPr/>
        <w:tc>
          <w:tcPr>
            <w:tcW w:w="31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Chirstian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Name: Christian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Limited</w:t>
            </w:r>
          </w:p>
        </w:tc>
      </w:tr>
      <w:tr>
        <w:trPr/>
        <w:tc>
          <w:tcPr>
            <w:tcW w:w="4082" w:type="dxa"/>
            <w:gridSpan w:val="3"/>
            <w:tcBorders/>
          </w:tcPr>
          <w:p>
            <w:pPr>
              <w:pStyle w:val="TableContents"/>
              <w:bidi w:val="0"/>
              <w:spacing w:before="0" w:after="283"/>
              <w:jc w:val="left"/>
              <w:rPr/>
            </w:pPr>
            <w:r>
              <w:rPr/>
              <w:t>The MediaWorks</w:t>
            </w:r>
          </w:p>
        </w:tc>
      </w:tr>
      <w:tr>
        <w:trPr/>
        <w:tc>
          <w:tcPr>
            <w:tcW w:w="4082" w:type="dxa"/>
            <w:gridSpan w:val="3"/>
            <w:tcBorders/>
          </w:tcPr>
          <w:p>
            <w:pPr>
              <w:pStyle w:val="TableContents"/>
              <w:bidi w:val="0"/>
              <w:spacing w:before="0" w:after="283"/>
              <w:jc w:val="left"/>
              <w:rPr/>
            </w:pPr>
            <w:r>
              <w:rPr/>
              <w:t>191 Wood Lane</w:t>
            </w:r>
          </w:p>
        </w:tc>
      </w:tr>
      <w:tr>
        <w:trPr/>
        <w:tc>
          <w:tcPr>
            <w:tcW w:w="4082" w:type="dxa"/>
            <w:gridSpan w:val="3"/>
            <w:tcBorders/>
          </w:tcPr>
          <w:p>
            <w:pPr>
              <w:pStyle w:val="TableContents"/>
              <w:bidi w:val="0"/>
              <w:spacing w:before="0" w:after="283"/>
              <w:jc w:val="left"/>
              <w:rPr/>
            </w:pPr>
            <w:r>
              <w:rPr/>
              <w:t>London W12 7FP, United Kingdom</w:t>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GMBH</w:t>
            </w:r>
          </w:p>
        </w:tc>
      </w:tr>
      <w:tr>
        <w:trPr>
          <w:trHeight w:val="240" w:hRule="atLeast"/>
        </w:trPr>
        <w:tc>
          <w:tcPr>
            <w:tcW w:w="310" w:type="dxa"/>
            <w:tcBorders/>
            <w:vAlign w:val="center"/>
          </w:tcPr>
          <w:p>
            <w:pPr>
              <w:pStyle w:val="TableContents"/>
              <w:bidi w:val="0"/>
              <w:spacing w:before="0" w:after="283"/>
              <w:jc w:val="left"/>
              <w:rPr>
                <w:sz w:val="4"/>
                <w:szCs w:val="4"/>
              </w:rPr>
            </w:pPr>
            <w:r>
              <w:rPr>
                <w:sz w:val="4"/>
                <w:szCs w:val="4"/>
              </w:rPr>
            </w:r>
          </w:p>
        </w:tc>
        <w:tc>
          <w:tcPr>
            <w:tcW w:w="3772" w:type="dxa"/>
            <w:gridSpan w:val="2"/>
            <w:tcBorders/>
            <w:vAlign w:val="center"/>
          </w:tcPr>
          <w:p>
            <w:pPr>
              <w:pStyle w:val="TableContents"/>
              <w:bidi w:val="0"/>
              <w:spacing w:before="0" w:after="283"/>
              <w:jc w:val="left"/>
              <w:rPr>
                <w:sz w:val="4"/>
                <w:szCs w:val="4"/>
              </w:rPr>
            </w:pPr>
            <w:r>
              <w:rPr>
                <w:sz w:val="4"/>
                <w:szCs w:val="4"/>
              </w:rPr>
            </w:r>
          </w:p>
        </w:tc>
      </w:tr>
      <w:tr>
        <w:trPr/>
        <w:tc>
          <w:tcPr>
            <w:tcW w:w="31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Chirstian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Name: Christian Itin</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Autolus Limited</w:t>
            </w:r>
          </w:p>
        </w:tc>
      </w:tr>
      <w:tr>
        <w:trPr/>
        <w:tc>
          <w:tcPr>
            <w:tcW w:w="4082" w:type="dxa"/>
            <w:gridSpan w:val="3"/>
            <w:tcBorders/>
          </w:tcPr>
          <w:p>
            <w:pPr>
              <w:pStyle w:val="TableContents"/>
              <w:bidi w:val="0"/>
              <w:spacing w:before="0" w:after="283"/>
              <w:jc w:val="left"/>
              <w:rPr/>
            </w:pPr>
            <w:r>
              <w:rPr/>
              <w:t>The MediaWorks</w:t>
            </w:r>
          </w:p>
        </w:tc>
      </w:tr>
      <w:tr>
        <w:trPr/>
        <w:tc>
          <w:tcPr>
            <w:tcW w:w="4082" w:type="dxa"/>
            <w:gridSpan w:val="3"/>
            <w:tcBorders/>
          </w:tcPr>
          <w:p>
            <w:pPr>
              <w:pStyle w:val="TableContents"/>
              <w:bidi w:val="0"/>
              <w:spacing w:before="0" w:after="283"/>
              <w:jc w:val="left"/>
              <w:rPr/>
            </w:pPr>
            <w:r>
              <w:rPr/>
              <w:t>191 Wood Lane</w:t>
            </w:r>
          </w:p>
        </w:tc>
      </w:tr>
      <w:tr>
        <w:trPr/>
        <w:tc>
          <w:tcPr>
            <w:tcW w:w="4082" w:type="dxa"/>
            <w:gridSpan w:val="3"/>
            <w:tcBorders/>
          </w:tcPr>
          <w:p>
            <w:pPr>
              <w:pStyle w:val="TableContents"/>
              <w:bidi w:val="0"/>
              <w:spacing w:before="0" w:after="283"/>
              <w:jc w:val="left"/>
              <w:rPr/>
            </w:pPr>
            <w:r>
              <w:rPr/>
              <w:t>London W12 7FP, United Kingdom</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Note Purchase Agreement and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5"/>
        <w:gridCol w:w="60"/>
        <w:gridCol w:w="3717"/>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PERCEPTIVE CREDIT HOLDINGS 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By: PERCEPTIVE CREDIT OPPORTUNITIES GP, LLC</w:t>
            </w:r>
            <w:r>
              <w:rPr/>
              <w:t>, its general partner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Sandeep Dixit</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Sandeep Dixit</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Chief Credit Officer</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 Chawla</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Name: Sam Chawla</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17" w:type="dxa"/>
            <w:tcBorders/>
          </w:tcPr>
          <w:p>
            <w:pPr>
              <w:pStyle w:val="TableContents"/>
              <w:bidi w:val="0"/>
              <w:spacing w:before="0" w:after="283"/>
              <w:jc w:val="left"/>
              <w:rPr/>
            </w:pPr>
            <w:r>
              <w:rPr/>
              <w:t>Title: Portfolio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268"/>
        <w:gridCol w:w="3474"/>
      </w:tblGrid>
      <w:tr>
        <w:trPr/>
        <w:tc>
          <w:tcPr>
            <w:tcW w:w="34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Perceptive Credit Holdings V, LP</w:t>
            </w:r>
          </w:p>
          <w:p>
            <w:pPr>
              <w:pStyle w:val="TableContents"/>
              <w:bidi w:val="0"/>
              <w:spacing w:before="0" w:after="0"/>
              <w:jc w:val="left"/>
              <w:rPr>
                <w:rFonts w:ascii="Times New Roman" w:hAnsi="Times New Roman"/>
                <w:sz w:val="20"/>
              </w:rPr>
            </w:pPr>
            <w:r>
              <w:rPr>
                <w:rFonts w:ascii="Times New Roman" w:hAnsi="Times New Roman"/>
                <w:sz w:val="20"/>
              </w:rPr>
              <w:t>c/o Perceptive Advisors LLC</w:t>
            </w:r>
          </w:p>
          <w:p>
            <w:pPr>
              <w:pStyle w:val="TableContents"/>
              <w:bidi w:val="0"/>
              <w:spacing w:before="0" w:after="20"/>
              <w:jc w:val="left"/>
              <w:rPr>
                <w:rFonts w:ascii="Times New Roman" w:hAnsi="Times New Roman"/>
                <w:sz w:val="20"/>
              </w:rPr>
            </w:pPr>
            <w:r>
              <w:rPr>
                <w:rFonts w:ascii="Times New Roman" w:hAnsi="Times New Roman"/>
                <w:sz w:val="20"/>
              </w:rPr>
              <w:t>51 Astor Place, 10th Floor</w:t>
            </w:r>
          </w:p>
        </w:tc>
      </w:tr>
      <w:tr>
        <w:trPr/>
        <w:tc>
          <w:tcPr>
            <w:tcW w:w="4082" w:type="dxa"/>
            <w:gridSpan w:val="3"/>
            <w:tcBorders/>
          </w:tcPr>
          <w:p>
            <w:pPr>
              <w:pStyle w:val="TableContents"/>
              <w:bidi w:val="0"/>
              <w:spacing w:before="0" w:after="283"/>
              <w:jc w:val="left"/>
              <w:rPr/>
            </w:pPr>
            <w:r>
              <w:rPr/>
              <w:t>New York, NY 10003</w:t>
            </w:r>
          </w:p>
        </w:tc>
      </w:tr>
      <w:tr>
        <w:trPr/>
        <w:tc>
          <w:tcPr>
            <w:tcW w:w="4082" w:type="dxa"/>
            <w:gridSpan w:val="3"/>
            <w:tcBorders/>
          </w:tcPr>
          <w:p>
            <w:pPr>
              <w:pStyle w:val="TableContents"/>
              <w:bidi w:val="0"/>
              <w:spacing w:before="0" w:after="283"/>
              <w:jc w:val="left"/>
              <w:rPr/>
            </w:pPr>
            <w:r>
              <w:rPr/>
              <w:t>Attn: Sandeep Dixit</w:t>
            </w:r>
          </w:p>
        </w:tc>
      </w:tr>
      <w:tr>
        <w:trPr/>
        <w:tc>
          <w:tcPr>
            <w:tcW w:w="4082" w:type="dxa"/>
            <w:gridSpan w:val="3"/>
            <w:tcBorders/>
          </w:tcPr>
          <w:p>
            <w:pPr>
              <w:pStyle w:val="TableContents"/>
              <w:bidi w:val="0"/>
              <w:spacing w:before="0" w:after="283"/>
              <w:jc w:val="left"/>
              <w:rPr/>
            </w:pPr>
            <w:r>
              <w:rPr/>
              <w:t>Email:[***]</w:t>
            </w:r>
          </w:p>
        </w:tc>
      </w:tr>
      <w:tr>
        <w:trPr/>
        <w:tc>
          <w:tcPr>
            <w:tcW w:w="4082" w:type="dxa"/>
            <w:gridSpan w:val="3"/>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Note Purchase Agreement and Guaranty</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00"/>
        <w:gridCol w:w="82"/>
        <w:gridCol w:w="3500"/>
      </w:tblGrid>
      <w:tr>
        <w:trPr/>
        <w:tc>
          <w:tcPr>
            <w:tcW w:w="50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NOTEHOLDERS: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PERCEPTIVE CREDIT HOLDINGS 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By: PERCEPTIVE CREDIT OPPORTUNITIES GP, LLC</w:t>
            </w:r>
            <w:r>
              <w:rPr/>
              <w:t>, its general partner</w:t>
            </w:r>
          </w:p>
        </w:tc>
      </w:tr>
      <w:tr>
        <w:trPr>
          <w:trHeight w:val="240" w:hRule="atLeast"/>
        </w:trPr>
        <w:tc>
          <w:tcPr>
            <w:tcW w:w="500" w:type="dxa"/>
            <w:tcBorders/>
            <w:vAlign w:val="center"/>
          </w:tcPr>
          <w:p>
            <w:pPr>
              <w:pStyle w:val="TableContents"/>
              <w:bidi w:val="0"/>
              <w:spacing w:before="0" w:after="283"/>
              <w:jc w:val="left"/>
              <w:rPr>
                <w:sz w:val="4"/>
                <w:szCs w:val="4"/>
              </w:rPr>
            </w:pPr>
            <w:r>
              <w:rPr>
                <w:sz w:val="4"/>
                <w:szCs w:val="4"/>
              </w:rPr>
            </w:r>
          </w:p>
        </w:tc>
        <w:tc>
          <w:tcPr>
            <w:tcW w:w="3582"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Sandeep Dixit</w:t>
            </w:r>
          </w:p>
        </w:tc>
      </w:tr>
      <w:tr>
        <w:trPr/>
        <w:tc>
          <w:tcPr>
            <w:tcW w:w="50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 Sandeep Dixit</w:t>
            </w:r>
          </w:p>
        </w:tc>
      </w:tr>
      <w:tr>
        <w:trPr/>
        <w:tc>
          <w:tcPr>
            <w:tcW w:w="50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 Chief Credit Officer</w:t>
            </w:r>
          </w:p>
        </w:tc>
      </w:tr>
      <w:tr>
        <w:trPr>
          <w:trHeight w:val="240" w:hRule="atLeast"/>
        </w:trPr>
        <w:tc>
          <w:tcPr>
            <w:tcW w:w="500" w:type="dxa"/>
            <w:tcBorders/>
            <w:vAlign w:val="center"/>
          </w:tcPr>
          <w:p>
            <w:pPr>
              <w:pStyle w:val="TableContents"/>
              <w:bidi w:val="0"/>
              <w:spacing w:before="0" w:after="283"/>
              <w:jc w:val="left"/>
              <w:rPr>
                <w:sz w:val="4"/>
                <w:szCs w:val="4"/>
              </w:rPr>
            </w:pPr>
            <w:r>
              <w:rPr>
                <w:sz w:val="4"/>
                <w:szCs w:val="4"/>
              </w:rPr>
            </w:r>
          </w:p>
        </w:tc>
        <w:tc>
          <w:tcPr>
            <w:tcW w:w="3582"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 Chawla</w:t>
            </w:r>
          </w:p>
        </w:tc>
      </w:tr>
      <w:tr>
        <w:trPr/>
        <w:tc>
          <w:tcPr>
            <w:tcW w:w="50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Name: Sam Chawla</w:t>
            </w:r>
          </w:p>
        </w:tc>
      </w:tr>
      <w:tr>
        <w:trPr/>
        <w:tc>
          <w:tcPr>
            <w:tcW w:w="500"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500" w:type="dxa"/>
            <w:tcBorders/>
          </w:tcPr>
          <w:p>
            <w:pPr>
              <w:pStyle w:val="TableContents"/>
              <w:bidi w:val="0"/>
              <w:spacing w:before="0" w:after="283"/>
              <w:jc w:val="left"/>
              <w:rPr/>
            </w:pPr>
            <w:r>
              <w:rPr/>
              <w:t>Title: Portfolio Manager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0"/>
        <w:gridCol w:w="268"/>
        <w:gridCol w:w="3474"/>
      </w:tblGrid>
      <w:tr>
        <w:trPr/>
        <w:tc>
          <w:tcPr>
            <w:tcW w:w="34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for Notices: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Perceptive Credit Holdings V, LP</w:t>
            </w:r>
          </w:p>
          <w:p>
            <w:pPr>
              <w:pStyle w:val="TableContents"/>
              <w:bidi w:val="0"/>
              <w:spacing w:before="0" w:after="0"/>
              <w:jc w:val="left"/>
              <w:rPr>
                <w:rFonts w:ascii="Times New Roman" w:hAnsi="Times New Roman"/>
                <w:sz w:val="20"/>
              </w:rPr>
            </w:pPr>
            <w:r>
              <w:rPr>
                <w:rFonts w:ascii="Times New Roman" w:hAnsi="Times New Roman"/>
                <w:sz w:val="20"/>
              </w:rPr>
              <w:t>c/o Perceptive Advisors LLC</w:t>
            </w:r>
          </w:p>
          <w:p>
            <w:pPr>
              <w:pStyle w:val="TableContents"/>
              <w:bidi w:val="0"/>
              <w:spacing w:before="0" w:after="20"/>
              <w:jc w:val="left"/>
              <w:rPr>
                <w:rFonts w:ascii="Times New Roman" w:hAnsi="Times New Roman"/>
                <w:sz w:val="20"/>
              </w:rPr>
            </w:pPr>
            <w:r>
              <w:rPr>
                <w:rFonts w:ascii="Times New Roman" w:hAnsi="Times New Roman"/>
                <w:sz w:val="20"/>
              </w:rPr>
              <w:t>51 Astor Place, 10th Floor</w:t>
            </w:r>
          </w:p>
        </w:tc>
      </w:tr>
      <w:tr>
        <w:trPr/>
        <w:tc>
          <w:tcPr>
            <w:tcW w:w="4082" w:type="dxa"/>
            <w:gridSpan w:val="3"/>
            <w:tcBorders/>
          </w:tcPr>
          <w:p>
            <w:pPr>
              <w:pStyle w:val="TableContents"/>
              <w:bidi w:val="0"/>
              <w:spacing w:before="0" w:after="283"/>
              <w:jc w:val="left"/>
              <w:rPr/>
            </w:pPr>
            <w:r>
              <w:rPr/>
              <w:t>New York, NY 10003</w:t>
            </w:r>
          </w:p>
        </w:tc>
      </w:tr>
      <w:tr>
        <w:trPr/>
        <w:tc>
          <w:tcPr>
            <w:tcW w:w="4082" w:type="dxa"/>
            <w:gridSpan w:val="3"/>
            <w:tcBorders/>
          </w:tcPr>
          <w:p>
            <w:pPr>
              <w:pStyle w:val="TableContents"/>
              <w:bidi w:val="0"/>
              <w:spacing w:before="0" w:after="283"/>
              <w:jc w:val="left"/>
              <w:rPr/>
            </w:pPr>
            <w:r>
              <w:rPr/>
              <w:t>Attn: Sandeep Dixit</w:t>
            </w:r>
          </w:p>
        </w:tc>
      </w:tr>
      <w:tr>
        <w:trPr/>
        <w:tc>
          <w:tcPr>
            <w:tcW w:w="4082" w:type="dxa"/>
            <w:gridSpan w:val="3"/>
            <w:tcBorders/>
          </w:tcPr>
          <w:p>
            <w:pPr>
              <w:pStyle w:val="TableContents"/>
              <w:bidi w:val="0"/>
              <w:spacing w:before="0" w:after="283"/>
              <w:jc w:val="left"/>
              <w:rPr/>
            </w:pPr>
            <w:r>
              <w:rPr/>
              <w:t>Email:[***]</w:t>
            </w:r>
          </w:p>
        </w:tc>
      </w:tr>
      <w:tr>
        <w:trPr/>
        <w:tc>
          <w:tcPr>
            <w:tcW w:w="4082" w:type="dxa"/>
            <w:gridSpan w:val="3"/>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Note Purchase Agreement and Guaranty</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7" w:name="d156965dex102.htm"/>
      <w:bookmarkStart w:id="8" w:name="ksd156965dex102"/>
      <w:bookmarkEnd w:id="7"/>
      <w:bookmarkEnd w:id="8"/>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AUTOLUS THERAPEUTICS PLC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sz w:val="20"/>
          <w:u w:val="single"/>
        </w:rPr>
        <w:t>Agreement</w:t>
      </w:r>
      <w:r>
        <w:rPr>
          <w:rFonts w:ascii="Times New Roman" w:hAnsi="Times New Roman"/>
          <w:sz w:val="20"/>
        </w:rPr>
        <w:t>”) is made and entered into as of July 30, 2026 by and among AUTOLUS THERAPEUTICS PLC, a public limited company incorporated under the laws of England and Wales (the “</w:t>
      </w:r>
      <w:r>
        <w:rPr>
          <w:rFonts w:ascii="Times New Roman" w:hAnsi="Times New Roman"/>
          <w:sz w:val="20"/>
          <w:u w:val="single"/>
        </w:rPr>
        <w:t>Company</w:t>
      </w:r>
      <w:r>
        <w:rPr>
          <w:rFonts w:ascii="Times New Roman" w:hAnsi="Times New Roman"/>
          <w:sz w:val="20"/>
        </w:rPr>
        <w:t>”), and PERCEPTIVE CREDIT HOLDINGS V, LP, a Delaware limited partnership (the “</w:t>
      </w:r>
      <w:r>
        <w:rPr>
          <w:rFonts w:ascii="Times New Roman" w:hAnsi="Times New Roman"/>
          <w:sz w:val="20"/>
          <w:u w:val="single"/>
        </w:rPr>
        <w:t>Investor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1.</w:t>
      </w:r>
      <w:r>
        <w:rPr>
          <w:rFonts w:ascii="Times New Roman" w:hAnsi="Times New Roman"/>
          <w:sz w:val="20"/>
          <w:u w:val="single"/>
        </w:rPr>
        <w:t xml:space="preserve">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the following terms shall have the following meanings: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first paragraph. </w:t>
      </w:r>
    </w:p>
    <w:p>
      <w:pPr>
        <w:pStyle w:val="TextBody"/>
        <w:bidi w:val="0"/>
        <w:spacing w:before="240" w:after="0"/>
        <w:jc w:val="left"/>
        <w:rPr/>
      </w:pPr>
      <w:r>
        <w:rPr/>
        <w:t>“</w:t>
      </w:r>
      <w:r>
        <w:rPr>
          <w:rFonts w:ascii="Times New Roman" w:hAnsi="Times New Roman"/>
          <w:sz w:val="20"/>
          <w:u w:val="single"/>
        </w:rPr>
        <w:t>Allowed Delay</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Blackout Period Payment Date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Blackout Period</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first paragraph and includes the Company’s successors by merger, acquisition, reorganization or otherwise. </w:t>
      </w:r>
    </w:p>
    <w:p>
      <w:pPr>
        <w:pStyle w:val="TextBody"/>
        <w:bidi w:val="0"/>
        <w:spacing w:before="240" w:after="0"/>
        <w:jc w:val="left"/>
        <w:rPr/>
      </w:pPr>
      <w:r>
        <w:rPr/>
        <w:t>“</w:t>
      </w:r>
      <w:r>
        <w:rPr>
          <w:rFonts w:ascii="Times New Roman" w:hAnsi="Times New Roman"/>
          <w:sz w:val="20"/>
          <w:u w:val="single"/>
        </w:rPr>
        <w:t>Cut Back Shares</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Citibank, N.A. </w:t>
      </w:r>
    </w:p>
    <w:p>
      <w:pPr>
        <w:pStyle w:val="TextBody"/>
        <w:bidi w:val="0"/>
        <w:spacing w:before="240" w:after="0"/>
        <w:jc w:val="left"/>
        <w:rPr/>
      </w:pPr>
      <w:r>
        <w:rPr/>
        <w:t>“</w:t>
      </w:r>
      <w:r>
        <w:rPr>
          <w:rFonts w:ascii="Times New Roman" w:hAnsi="Times New Roman"/>
          <w:sz w:val="20"/>
          <w:u w:val="single"/>
        </w:rPr>
        <w:t>DTCDRS</w:t>
      </w:r>
      <w:r>
        <w:rPr>
          <w:rFonts w:ascii="Times New Roman" w:hAnsi="Times New Roman"/>
          <w:sz w:val="20"/>
        </w:rPr>
        <w:t xml:space="preserve">” has the meaning set forth in </w:t>
      </w:r>
      <w:r>
        <w:rPr>
          <w:rFonts w:ascii="Times New Roman" w:hAnsi="Times New Roman"/>
          <w:sz w:val="20"/>
          <w:u w:val="single"/>
        </w:rPr>
        <w:t>Section 3(n)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Effectiveness Deadline</w:t>
      </w:r>
      <w:r>
        <w:rPr>
          <w:rFonts w:ascii="Times New Roman" w:hAnsi="Times New Roman"/>
          <w:sz w:val="20"/>
        </w:rPr>
        <w:t xml:space="preserve">” has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Effectiveness Failure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Effectiveness Period</w:t>
      </w:r>
      <w:r>
        <w:rPr>
          <w:rFonts w:ascii="Times New Roman" w:hAnsi="Times New Roman"/>
          <w:sz w:val="20"/>
        </w:rPr>
        <w:t xml:space="preserve">” has the meaning set forth in </w:t>
      </w:r>
      <w:r>
        <w:rPr>
          <w:rFonts w:ascii="Times New Roman" w:hAnsi="Times New Roman"/>
          <w:sz w:val="20"/>
          <w:u w:val="single"/>
        </w:rPr>
        <w:t>Section 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Filing Deadline</w:t>
      </w:r>
      <w:r>
        <w:rPr>
          <w:rFonts w:ascii="Times New Roman" w:hAnsi="Times New Roman"/>
          <w:sz w:val="20"/>
        </w:rPr>
        <w:t xml:space="preserve">” has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Filing Failure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Inspectors</w:t>
      </w:r>
      <w:r>
        <w:rPr>
          <w:rFonts w:ascii="Times New Roman" w:hAnsi="Times New Roman"/>
          <w:sz w:val="20"/>
        </w:rPr>
        <w:t xml:space="preserve">” has the meaning set forth in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Initial Registration Statement</w:t>
      </w:r>
      <w:r>
        <w:rPr>
          <w:rFonts w:ascii="Times New Roman" w:hAnsi="Times New Roman"/>
          <w:sz w:val="20"/>
        </w:rPr>
        <w:t xml:space="preserve">” has the meaning set forth in </w:t>
      </w:r>
      <w:r>
        <w:rPr>
          <w:rFonts w:ascii="Times New Roman" w:hAnsi="Times New Roman"/>
          <w:sz w:val="20"/>
          <w:u w:val="single"/>
        </w:rPr>
        <w:t>Section 2.1(a)</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Investor</w:t>
      </w:r>
      <w:r>
        <w:rPr>
          <w:rFonts w:ascii="Times New Roman" w:hAnsi="Times New Roman"/>
          <w:sz w:val="20"/>
        </w:rPr>
        <w:t xml:space="preserve">” has the meaning set forth in the first paragraph and any Affiliate or permitted transferee. </w:t>
      </w:r>
    </w:p>
    <w:p>
      <w:pPr>
        <w:pStyle w:val="TextBody"/>
        <w:bidi w:val="0"/>
        <w:spacing w:before="240" w:after="0"/>
        <w:jc w:val="left"/>
        <w:rPr/>
      </w:pPr>
      <w:r>
        <w:rPr/>
        <w:t>“</w:t>
      </w:r>
      <w:r>
        <w:rPr>
          <w:rFonts w:ascii="Times New Roman" w:hAnsi="Times New Roman"/>
          <w:sz w:val="20"/>
          <w:u w:val="single"/>
        </w:rPr>
        <w:t>Maintenance Failure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Notes Issue Date</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Opt-Out Notice</w:t>
      </w:r>
      <w:r>
        <w:rPr>
          <w:rFonts w:ascii="Times New Roman" w:hAnsi="Times New Roman"/>
          <w:sz w:val="20"/>
        </w:rPr>
        <w:t xml:space="preserve">” has the meaning set forth in </w:t>
      </w:r>
      <w:r>
        <w:rPr>
          <w:rFonts w:ascii="Times New Roman" w:hAnsi="Times New Roman"/>
          <w:sz w:val="20"/>
          <w:u w:val="single"/>
        </w:rPr>
        <w:t>Section 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Ordinary Shares</w:t>
      </w:r>
      <w:r>
        <w:rPr>
          <w:rFonts w:ascii="Times New Roman" w:hAnsi="Times New Roman"/>
          <w:sz w:val="20"/>
        </w:rPr>
        <w:t>” means the ordinary shares, nominal value $0.000042 per share, of the Company (“</w:t>
      </w:r>
      <w:r>
        <w:rPr>
          <w:rFonts w:ascii="Times New Roman" w:hAnsi="Times New Roman"/>
          <w:sz w:val="20"/>
          <w:u w:val="single"/>
        </w:rPr>
        <w:t>Ordinary Shares</w:t>
      </w:r>
      <w:r>
        <w:rPr>
          <w:rFonts w:ascii="Times New Roman" w:hAnsi="Times New Roman"/>
          <w:sz w:val="20"/>
        </w:rPr>
        <w:t>”), represented by American Depositary Shares, each such American Depositary Share representing one ordinary share of the Company (“</w:t>
      </w:r>
      <w:r>
        <w:rPr>
          <w:rFonts w:ascii="Times New Roman" w:hAnsi="Times New Roman"/>
          <w:sz w:val="20"/>
          <w:u w:val="single"/>
        </w:rPr>
        <w:t>ADSs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rPr>
        <w:t>P</w:t>
      </w:r>
      <w:r>
        <w:rPr>
          <w:rFonts w:ascii="Times New Roman" w:hAnsi="Times New Roman"/>
          <w:sz w:val="20"/>
          <w:u w:val="single"/>
        </w:rPr>
        <w:t>ayment Date</w:t>
      </w:r>
      <w:r>
        <w:rPr>
          <w:rFonts w:ascii="Times New Roman" w:hAnsi="Times New Roman"/>
          <w:sz w:val="20"/>
        </w:rPr>
        <w:t xml:space="preserve">” has the meaning set forth in Section 2.4(a).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Prospectus</w:t>
      </w:r>
      <w:r>
        <w:rPr>
          <w:rFonts w:ascii="Times New Roman" w:hAnsi="Times New Roman"/>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 </w:t>
      </w:r>
    </w:p>
    <w:p>
      <w:pPr>
        <w:pStyle w:val="TextBody"/>
        <w:bidi w:val="0"/>
        <w:spacing w:before="240" w:after="0"/>
        <w:jc w:val="left"/>
        <w:rPr/>
      </w:pPr>
      <w:r>
        <w:rPr/>
        <w:t>“</w:t>
      </w:r>
      <w:r>
        <w:rPr>
          <w:rFonts w:ascii="Times New Roman" w:hAnsi="Times New Roman"/>
          <w:sz w:val="20"/>
          <w:u w:val="single"/>
        </w:rPr>
        <w:t>Purchase Agreement</w:t>
      </w:r>
      <w:r>
        <w:rPr>
          <w:rFonts w:ascii="Times New Roman" w:hAnsi="Times New Roman"/>
          <w:sz w:val="20"/>
        </w:rPr>
        <w:t xml:space="preserve">” means that certain Note Purchase Agreement and Guaranty, dated as of July 30, 2026, among the Company, certain Subsidiaries of the Company and the Investor, acting in its capacity as the administrative agent for the noteholders. </w:t>
      </w:r>
    </w:p>
    <w:p>
      <w:pPr>
        <w:pStyle w:val="TextBody"/>
        <w:bidi w:val="0"/>
        <w:spacing w:before="240" w:after="0"/>
        <w:jc w:val="left"/>
        <w:rPr/>
      </w:pPr>
      <w:r>
        <w:rPr/>
        <w:t>“</w:t>
      </w:r>
      <w:r>
        <w:rPr>
          <w:rFonts w:ascii="Times New Roman" w:hAnsi="Times New Roman"/>
          <w:sz w:val="20"/>
          <w:u w:val="single"/>
        </w:rPr>
        <w:t>Records</w:t>
      </w:r>
      <w:r>
        <w:rPr>
          <w:rFonts w:ascii="Times New Roman" w:hAnsi="Times New Roman"/>
          <w:sz w:val="20"/>
        </w:rPr>
        <w:t xml:space="preserve">” has the meaning set forth in </w:t>
      </w:r>
      <w:r>
        <w:rPr>
          <w:rFonts w:ascii="Times New Roman" w:hAnsi="Times New Roman"/>
          <w:sz w:val="20"/>
          <w:u w:val="single"/>
        </w:rPr>
        <w:t>Section 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xml:space="preserve">” refer to a registration made by preparing and filing a Registration Statement or similar document in compliance with the 1933 Act, and the declaration or ordering of effectiveness of such Registration Statement or document.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means all of (i) the Shares and (ii) any other Ordinary Shares issued as a dividend or other distribution with respect to, in exchange for or in replacement of the Shares; provided, however, that any such Registrable Securities shall cease to be Registrable Securities (and the Company shall not be required to maintain the effectiveness of any, or file another, Registration Statement hereunder with respect thereto) with respect to a particular holder upon the first to occur of (A) a Registration Statement with respect to the sale of such Registrable Securities being declared effective by the SEC under the 1933 Act and such Registrable Securities having been sold, disposed of or transferred by the holder thereof in accordance with such effective Registration Statement, (B) such Registrable Securities having been previously sold or transferred by the holder in accordance with Rule 144 (or another exemption from the registration requirements of the 1933 Act but excluding transfers to Affiliates), and (C) such Registrable Securities becoming eligible for resale by the holder pursuant to Rule 144 without volume or manner of sale restrictions. For the avoidance of doubt, no Share will cease to be a Registrable Security prior to the issuance of such Share upon exercise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Registration Statement</w:t>
      </w:r>
      <w:r>
        <w:rPr>
          <w:rFonts w:ascii="Times New Roman" w:hAnsi="Times New Roman"/>
          <w:sz w:val="20"/>
        </w:rPr>
        <w:t xml:space="preserve">”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 </w:t>
      </w:r>
    </w:p>
    <w:p>
      <w:pPr>
        <w:pStyle w:val="TextBody"/>
        <w:bidi w:val="0"/>
        <w:spacing w:before="240" w:after="0"/>
        <w:jc w:val="left"/>
        <w:rPr/>
      </w:pPr>
      <w:r>
        <w:rPr/>
        <w:t>“</w:t>
      </w:r>
      <w:r>
        <w:rPr>
          <w:rFonts w:ascii="Times New Roman" w:hAnsi="Times New Roman"/>
          <w:sz w:val="20"/>
          <w:u w:val="single"/>
        </w:rPr>
        <w:t>Restriction Termination Date</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 Restrictions</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Selling Securityholder Questionnaire</w:t>
      </w:r>
      <w:r>
        <w:rPr>
          <w:rFonts w:ascii="Times New Roman" w:hAnsi="Times New Roman"/>
          <w:sz w:val="20"/>
        </w:rPr>
        <w:t xml:space="preserve">” means the Selling Securityholder Questionnaire substantially in the form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Shares</w:t>
      </w:r>
      <w:r>
        <w:rPr>
          <w:rFonts w:ascii="Times New Roman" w:hAnsi="Times New Roman"/>
          <w:sz w:val="20"/>
        </w:rPr>
        <w:t xml:space="preserve">” means the ADSs issuable upon exercise of the Warrants.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Suspension Event</w:t>
      </w:r>
      <w:r>
        <w:rPr>
          <w:rFonts w:ascii="Times New Roman" w:hAnsi="Times New Roman"/>
          <w:sz w:val="20"/>
        </w:rPr>
        <w:t xml:space="preserve">” has the meaning set forth in </w:t>
      </w:r>
      <w:r>
        <w:rPr>
          <w:rFonts w:ascii="Times New Roman" w:hAnsi="Times New Roman"/>
          <w:sz w:val="20"/>
          <w:u w:val="single"/>
        </w:rPr>
        <w:t>Section 2.3(c)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Tranche 2 Issue Date</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Tranche 3 Issue Date</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Tranche 4 Issue Date</w:t>
      </w:r>
      <w:r>
        <w:rPr>
          <w:rFonts w:ascii="Times New Roman" w:hAnsi="Times New Roman"/>
          <w:sz w:val="20"/>
        </w:rPr>
        <w:t xml:space="preserve">” has the meaning set forth in Section 1.01 of the Purchase Agreement. </w:t>
      </w:r>
    </w:p>
    <w:p>
      <w:pPr>
        <w:pStyle w:val="TextBody"/>
        <w:bidi w:val="0"/>
        <w:spacing w:before="240" w:after="0"/>
        <w:jc w:val="left"/>
        <w:rPr/>
      </w:pPr>
      <w:r>
        <w:rPr/>
        <w:t>“</w:t>
      </w:r>
      <w:r>
        <w:rPr>
          <w:rFonts w:ascii="Times New Roman" w:hAnsi="Times New Roman"/>
          <w:sz w:val="20"/>
          <w:u w:val="single"/>
        </w:rPr>
        <w:t>Warrants</w:t>
      </w:r>
      <w:r>
        <w:rPr>
          <w:rFonts w:ascii="Times New Roman" w:hAnsi="Times New Roman"/>
          <w:sz w:val="20"/>
        </w:rPr>
        <w:t xml:space="preserve">” means the Warrant Certificates for the purchase of ADSs, by and between the Investor and the Company, issued or issuable from time to time under the Purchase Agreement, including without limitation the Warrant Certificates to be issued at the Closing Date and at each subsequent Notes Issue Date at which Warrants are required to be delivered thereunder. </w:t>
      </w:r>
    </w:p>
    <w:p>
      <w:pPr>
        <w:pStyle w:val="TextBody"/>
        <w:bidi w:val="0"/>
        <w:spacing w:before="240" w:after="0"/>
        <w:jc w:val="left"/>
        <w:rPr/>
      </w:pPr>
      <w:r>
        <w:rPr/>
        <w:t>“</w:t>
      </w:r>
      <w:r>
        <w:rPr>
          <w:rFonts w:ascii="Times New Roman" w:hAnsi="Times New Roman"/>
          <w:sz w:val="20"/>
          <w:u w:val="single"/>
        </w:rPr>
        <w:t>1933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Registration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Promptly following the Closing Date, but no later than forty-five (45) calendar days following the Closing Date (the “</w:t>
      </w:r>
      <w:r>
        <w:rPr>
          <w:rFonts w:ascii="Times New Roman" w:hAnsi="Times New Roman"/>
          <w:sz w:val="20"/>
          <w:u w:val="single"/>
        </w:rPr>
        <w:t>Filing Deadline</w:t>
      </w:r>
      <w:r>
        <w:rPr>
          <w:rFonts w:ascii="Times New Roman" w:hAnsi="Times New Roman"/>
          <w:sz w:val="20"/>
        </w:rPr>
        <w:t>”), the Company shall prepare and file, or cause to be prepared and filed, with the SEC a Registration Statement covering the resale of (i) all Registrable Securities relating to the Warrants issued at the Closing Date and (ii) to the extent eligible to be included therein, all Registrable Securities relating to Warrants that are issuable under the Purchase Agreement but that have not been issued as of the Filing Deadline (including the Warrants issuable at the Tranche 2 Issue Date, Tranche 3 Issue Date and Tranche 4 Issue Date) (the “</w:t>
      </w:r>
      <w:r>
        <w:rPr>
          <w:rFonts w:ascii="Times New Roman" w:hAnsi="Times New Roman"/>
          <w:sz w:val="20"/>
          <w:u w:val="single"/>
        </w:rPr>
        <w:t>Initial Registration Statement</w:t>
      </w:r>
      <w:r>
        <w:rPr>
          <w:rFonts w:ascii="Times New Roman" w:hAnsi="Times New Roman"/>
          <w:sz w:val="20"/>
        </w:rPr>
        <w:t xml:space="preserve">”). To the extent that any Registrable Securities relating to Warrants as of the Filing Deadline are ineligible to be included in the Initial Registration Statement filed, the Company shall, within forty-five (45) calendar days of the Registrable Securities becoming eligible for registration, file an additional Registration Statement to register such Registrable Securities. Subject to any SEC comments, such Registration Statement shall include the plan of distribution substantially in form and substance as set forth on </w:t>
      </w:r>
      <w:r>
        <w:rPr>
          <w:rFonts w:ascii="Times New Roman" w:hAnsi="Times New Roman"/>
          <w:sz w:val="20"/>
          <w:u w:val="single"/>
        </w:rPr>
        <w:t>Exhibit B</w:t>
      </w:r>
      <w:r>
        <w:rPr>
          <w:rFonts w:ascii="Times New Roman" w:hAnsi="Times New Roman"/>
          <w:sz w:val="20"/>
        </w:rPr>
        <w:t xml:space="preserve"> hereto. Such Registration Statement also shall cover, to the extent allowable under the 1933 Act and the rules promulgated thereunder (including Rule 416), such indeterminate number of additional Ordinary Shares resulting from share splits or subdivisions, share dividends or similar transactions with respect to the Shares. The Company will, (A) at least five (5) Business Days prior to the anticipated filing of a Registration Statement or any related Prospectus or any amendment or supplement thereto (including any documents incorporated by reference therein), furnish to the Investor and its respective counsel copies of all such documents proposed to be filed and make such representatives of the Company as shall be reasonably requested by the Investor available for discussion of such documents, (B) use its reasonable best efforts to address in each such document prior to being so filed with the SEC such comments as the Investor or its counsel reasonably propose within two (2) Business Days of receipt of such copies by the Investor and (C) not file any Registration Statement or related Prospectus or any amendment or supplement thereto containing information regarding the Investor to which Investor reasonably objects, unless such information is required to comply with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(b) The Registration Statement contemplated by Section 2.1(a) hereof shall be on Form F-3 or S-3, provided that if at such time Form F-3 or S-3 is not available for the registration of the resale of Registrable Securities hereunder, the Company shall (A) register the resale of the Registrable Securities on another appropriate form reasonably acceptable to the Investor and (B) undertake to register the resale of the Registrable Securities on Form F-3 or S-3 promptly after such form is available.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Investor holds Registrable Securities that are not registered for resale pursuant to the Registration Statement contemplated by Section 2.1(a) hereof, the Company shall, upon the written request of the Investor, promptly use its commercially reasonable efforts to cause the resale of such Registrable Securities to be covered by a subsequent Registration Statement and cause the same to become effective as soon as practicable after such filing and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Expenses</w:t>
      </w:r>
      <w:r>
        <w:rPr>
          <w:rFonts w:ascii="Times New Roman" w:hAnsi="Times New Roman"/>
          <w:sz w:val="20"/>
        </w:rPr>
        <w:t xml:space="preserve">.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their rights and obligations under this Agreement. The Company shall pay all expenses of the Depositary in connection with issuance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Effectiveness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use commercially reasonable efforts to cause each Registration Statement to be declared effective as soon as practicable following notification by the SEC to the Company that it has completed its review of (or will not be reviewing) such Registration Statement. The Company shall notify the Investor by facsimile or e-mail as promptly as practicable, and in any event, within twenty-four (24) hours, after the Registration Statement is declared effective or is supplemented and shall provide the Investor with copies of any related Prospectus to be used in connection with the sale or other disposition of the securities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herein, the Company may, upon written notice to any holder of Registrable Securities included in a Registration Statement (provided that such notice shall not, without the prior written consent of a holder of Registrable Securities, disclose to such holder of Registrable Securities any material nonpublic information regarding the Company), suspend the use of any Registration Statement, including any Prospectus that forms a part of a Registration Statement, if the Company (X) determines that it would be required to make disclosure of material nonpublic information in the Registration Statement concerning the Company, the disclosure of which the Company has a bona fide business purpose to keep confidential or (Y) the Company determines in good faith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holders of Registrable Securities be suspended from selling Registrable Securities pursuant to the Registration Statement for a period that exceeds 30 consecutive calendar days or 90 total calendar days in any 360-day period (any such suspension contemplated by this </w:t>
      </w:r>
      <w:r>
        <w:rPr>
          <w:rFonts w:ascii="Times New Roman" w:hAnsi="Times New Roman"/>
          <w:sz w:val="20"/>
          <w:u w:val="single"/>
        </w:rPr>
        <w:t>Section 2.3(b)</w:t>
      </w:r>
      <w:r>
        <w:rPr>
          <w:rFonts w:ascii="Times New Roman" w:hAnsi="Times New Roman"/>
          <w:sz w:val="20"/>
        </w:rPr>
        <w:t>, an “</w:t>
      </w:r>
      <w:r>
        <w:rPr>
          <w:rFonts w:ascii="Times New Roman" w:hAnsi="Times New Roman"/>
          <w:sz w:val="20"/>
          <w:u w:val="single"/>
        </w:rPr>
        <w:t>Allowed Delay</w:t>
      </w:r>
      <w:r>
        <w:rPr>
          <w:rFonts w:ascii="Times New Roman" w:hAnsi="Times New Roman"/>
          <w:sz w:val="20"/>
        </w:rPr>
        <w:t xml:space="preserve">”); provided, further, that the Company shall promptly (a) notify Investor in writing of the commencement of an Allowed Delay, but shall not (without the prior written consent of Investor) disclose to Investor any material nonpublic information giving rise to an Allowed Delay, (b) advise the Investor in writing to cease all sales under such Registration Statement until the end of the Allowed Delay and (c) use commercially reasonable efforts to terminate an Allowed Delay as promptly as practicable.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 </w:t>
      </w:r>
    </w:p>
    <w:p>
      <w:pPr>
        <w:pStyle w:val="TextBody"/>
        <w:bidi w:val="0"/>
        <w:spacing w:before="240" w:after="0"/>
        <w:jc w:val="left"/>
        <w:rPr>
          <w:rFonts w:ascii="Times New Roman" w:hAnsi="Times New Roman"/>
          <w:sz w:val="20"/>
        </w:rPr>
      </w:pPr>
      <w:r>
        <w:rPr>
          <w:rFonts w:ascii="Times New Roman" w:hAnsi="Times New Roman"/>
          <w:sz w:val="20"/>
        </w:rPr>
        <w:t>(c) The Investor may deliver written notice (an “</w:t>
      </w:r>
      <w:r>
        <w:rPr>
          <w:rFonts w:ascii="Times New Roman" w:hAnsi="Times New Roman"/>
          <w:sz w:val="20"/>
          <w:u w:val="single"/>
        </w:rPr>
        <w:t>Opt-Out Notice</w:t>
      </w:r>
      <w:r>
        <w:rPr>
          <w:rFonts w:ascii="Times New Roman" w:hAnsi="Times New Roman"/>
          <w:sz w:val="20"/>
        </w:rPr>
        <w:t xml:space="preserve">”) to the Company requesting that the Investor not receive notices from the Company otherwise required by Section 2.3(b) hereof; provided, however, that the Investor may later revoke any such Opt-Out Notice in writing. Following receipt of an Opt-Out Notice from the Investor (unless subsequently revoked), (i) the Company shall not deliver any such notices to the Investor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Investor shall no longer be entitled to the rights associated with any such notice and (ii) each time prior to the Investor’s intended use of an effective Registration Statement, the Investor will notify the Company in writing at least two (2) Business Days in advance of such intended use, and if a notice of an event described in Section 2.3(b) (a “</w:t>
      </w:r>
      <w:r>
        <w:rPr>
          <w:rFonts w:ascii="Times New Roman" w:hAnsi="Times New Roman"/>
          <w:sz w:val="20"/>
          <w:u w:val="single"/>
        </w:rPr>
        <w:t>Suspension Event</w:t>
      </w:r>
      <w:r>
        <w:rPr>
          <w:rFonts w:ascii="Times New Roman" w:hAnsi="Times New Roman"/>
          <w:sz w:val="20"/>
        </w:rPr>
        <w:t xml:space="preserve">”) was previously delivered (or would have been delivered but for the provisions of this Section 2.3(c)) and the related suspension period remains in effect, the Company will so notify the Investor within one (1) Business Day of the Investor’s notification to the Company by delivering to the Investor a copy of such previous notice of Suspension Event, and thereafter will provide the Investor with the related notice of the conclusion of such Suspension Event promptly following its availability.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Effect of Failure to File and Obtain and Maintain Effectiveness of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Registration Statement covering the Registrable Securities is not filed with the SEC on or prior to a Filing Deadline (a “</w:t>
      </w:r>
      <w:r>
        <w:rPr>
          <w:rFonts w:ascii="Times New Roman" w:hAnsi="Times New Roman"/>
          <w:sz w:val="20"/>
          <w:u w:val="single"/>
        </w:rPr>
        <w:t>Filing Failure</w:t>
      </w:r>
      <w:r>
        <w:rPr>
          <w:rFonts w:ascii="Times New Roman" w:hAnsi="Times New Roman"/>
          <w:sz w:val="20"/>
        </w:rPr>
        <w:t>”), the Company will make pro rata payments to the Investor, as liquidated damages and not as a penalty, in an amount equal to 1.0% of the notional amount of the applicable Warrant for each 30-day period or pro rata for any portion thereof following the Filing Deadline for which no Registration Statement is filed with respect to the Registrable Securities. Such payments shall constitute the Investor’s exclusive monetary remedy for such events, but shall not affect the right of the Investor to seek injunctive relief. Such payments shall be made to the Investor in cash no later than three (3) Business Days after the end of each 30-day period (the “</w:t>
      </w:r>
      <w:r>
        <w:rPr>
          <w:rFonts w:ascii="Times New Roman" w:hAnsi="Times New Roman"/>
          <w:sz w:val="20"/>
          <w:u w:val="single"/>
        </w:rPr>
        <w:t>Payment Date</w:t>
      </w:r>
      <w:r>
        <w:rPr>
          <w:rFonts w:ascii="Times New Roman" w:hAnsi="Times New Roman"/>
          <w:sz w:val="20"/>
        </w:rPr>
        <w:t xml:space="preserve">”). Interest shall accrue at the rate of 1.0% per month on any such liquidated damages payments that shall not be paid by the Payment Date until such amount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2.5</w:t>
      </w:r>
      <w:r>
        <w:rPr>
          <w:rFonts w:ascii="Times New Roman" w:hAnsi="Times New Roman"/>
          <w:sz w:val="20"/>
        </w:rPr>
        <w:t>, if (A) a Registration Statement covering the Registrable Securities is not declared effective by the SEC (an “</w:t>
      </w:r>
      <w:r>
        <w:rPr>
          <w:rFonts w:ascii="Times New Roman" w:hAnsi="Times New Roman"/>
          <w:sz w:val="20"/>
          <w:u w:val="single"/>
        </w:rPr>
        <w:t>Effectiveness Failure</w:t>
      </w:r>
      <w:r>
        <w:rPr>
          <w:rFonts w:ascii="Times New Roman" w:hAnsi="Times New Roman"/>
          <w:sz w:val="20"/>
        </w:rPr>
        <w:t>”) prior to the earlier of (i) five (5) Business Days after the SEC informs the Company that no review of such Registration Statement will be made or that the SEC has no further comments on such Registration Statement and (ii) the 90th day after the date of issuance of a Warrant (or the 120th day if the SEC reviews such Registration Statement) (the “</w:t>
      </w:r>
      <w:r>
        <w:rPr>
          <w:rFonts w:ascii="Times New Roman" w:hAnsi="Times New Roman"/>
          <w:sz w:val="20"/>
          <w:u w:val="single"/>
        </w:rPr>
        <w:t>Effectiveness Deadline</w:t>
      </w:r>
      <w:r>
        <w:rPr>
          <w:rFonts w:ascii="Times New Roman" w:hAnsi="Times New Roman"/>
          <w:sz w:val="20"/>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the inability of any Investor to sell the Registrable Securities covered thereby due to market conditions or, if the Registration Statement is on Form F-1 or S-1, for a period of twenty (20) days following the date on which the Company files a post-effective amendment to incorporate the Company’s Annual Report on Form 20-F or Form 10-K, as the case may be (a “</w:t>
      </w:r>
      <w:r>
        <w:rPr>
          <w:rFonts w:ascii="Times New Roman" w:hAnsi="Times New Roman"/>
          <w:sz w:val="20"/>
          <w:u w:val="single"/>
        </w:rPr>
        <w:t>Maintenance Failure</w:t>
      </w:r>
      <w:r>
        <w:rPr>
          <w:rFonts w:ascii="Times New Roman" w:hAnsi="Times New Roman"/>
          <w:sz w:val="20"/>
        </w:rPr>
        <w:t>”), then the Company will make a payment to Investor as liquidated damages and not as a penalty, in an amount equal to 1.0% of the aggregate amount invested by Investor for such Registrable Securities then held by the Investor on each of the following days: (i) the initial day of the Effectiveness Failure and each 30-day period or pro rata for any portion thereof following the date by which such Registration Statement should have been effective and (ii) the initial day of a Maintenance Failure and each 30-day period or pro rata for any portion thereof following the date by which such sales should have been made pursuant to such Registration Statement (the “</w:t>
      </w:r>
      <w:r>
        <w:rPr>
          <w:rFonts w:ascii="Times New Roman" w:hAnsi="Times New Roman"/>
          <w:sz w:val="20"/>
          <w:u w:val="single"/>
        </w:rPr>
        <w:t>Blackout Period</w:t>
      </w:r>
      <w:r>
        <w:rPr>
          <w:rFonts w:ascii="Times New Roman" w:hAnsi="Times New Roman"/>
          <w:sz w:val="20"/>
        </w:rPr>
        <w:t xml:space="preserve">”). Such payments shall constitute the Investor’s exclusive monetary remedy for such events, but shall not affect the right of the Investor to seek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injunctive relief. The amounts payable as liquidated damages pursuant to this paragraph shall be paid promptly but no later than five (5) Business Days after each such 30-day period following the commencement of the Blackout Period until the termination of the Blackout Period (the “</w:t>
      </w:r>
      <w:r>
        <w:rPr>
          <w:rFonts w:ascii="Times New Roman" w:hAnsi="Times New Roman"/>
          <w:sz w:val="20"/>
          <w:u w:val="single"/>
        </w:rPr>
        <w:t>Blackout Period Payment Date</w:t>
      </w:r>
      <w:r>
        <w:rPr>
          <w:rFonts w:ascii="Times New Roman" w:hAnsi="Times New Roman"/>
          <w:sz w:val="20"/>
        </w:rPr>
        <w:t xml:space="preserve">”). Such payments shall be made to Investor in cash. Interest shall accrue at the rate of 1.0% per month on any such liquidated damages payments that shall not be paid by the Blackout Period Payment Date until such amount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agree that notwithstanding anything to the contrary herein or in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(i) no liquidated damages shall be payable with respect to any period after the expiration of the Effectiveness Period for a given Registration Statement (as defined below) (it being understood that this sentence shall not relieve the Company of any such payments accruing prior to the expiration of such Effectiveness Period), and in no event shall the aggregate amount of liquidated damages (or interest thereon) payable to the Investor exceed, in the aggregate, four percent (4.0%) of the notional value of the applicable Warrant; and </w:t>
      </w:r>
    </w:p>
    <w:p>
      <w:pPr>
        <w:pStyle w:val="TextBody"/>
        <w:bidi w:val="0"/>
        <w:spacing w:before="120" w:after="0"/>
        <w:jc w:val="left"/>
        <w:rPr>
          <w:rFonts w:ascii="Times New Roman" w:hAnsi="Times New Roman"/>
          <w:sz w:val="20"/>
        </w:rPr>
      </w:pPr>
      <w:r>
        <w:rPr>
          <w:rFonts w:ascii="Times New Roman" w:hAnsi="Times New Roman"/>
          <w:sz w:val="20"/>
        </w:rPr>
        <w:t xml:space="preserve">(ii) the Filing Deadline and each Effectiveness Deadline for a Registration Statement shall be extended and any Maintenance Failure shall be automatically waived by no action of the Investor, in each case, without default by or liquidated damages payable by the Company hereunder to Investor in the event that the Company’s failure to make such filing or obtain such effectiveness or a Maintenance Failure results solely and directly from the failure of the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(iii) the Filing Deadline and each Effectiveness Deadline for a Registration Statement shall be extended and any Maintenance Failure shall be automatically waived by no action of the Investor, in each case, without default by or liquidated damages payable by the Company hereunder to Investor, in the event that the SEC is closed for operations due to a government shutdown; provided, however, that notwithstanding the foregoing, the Company shall use all reasonable efforts to cause such Registration Statement to be filed with, and declared effective by, the SEC as promptly as practicable, including, upon the written request of the Investor, by taking all steps necessary to remove or withdraw any delaying amendment to such Registration Statement that would otherwise prevent or delay the effectiveness thereof.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Rule 415; Cutback</w:t>
      </w:r>
      <w:r>
        <w:rPr>
          <w:rFonts w:ascii="Times New Roman" w:hAnsi="Times New Roman"/>
          <w:sz w:val="20"/>
        </w:rPr>
        <w:t xml:space="preserve">. If at any time the SEC takes the position that the offering of some or all of the Registrable Securities in a Registration Statement is not eligible to be made on a delayed or continuous basis under the provisions of Rule 415 under the 1933 Act (provided, however, the Company shall be obligated to use diligent efforts with the SEC for the registration of all the Registrable Securities in accordance with the SEC guidance, including without limitation, Compliance and Disclosure Interpretation 612.09) or requires any Investor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named as an “underwriter,” the Company shall (i) promptly notify each holder of Registrable Securities thereof and (ii) use best efforts to advocate before the SEC its reasonable position that the offering contemplated by such Registration Statement is a valid secondary offering and not an offering “by or on behalf of the issuer” as defined in Rule 415 and the Investor is not an “underwriter.” The Investor shall have the right to select one legal counsel, at its own expense, to review and oversee any registration or matters pursuant to this </w:t>
      </w:r>
      <w:r>
        <w:rPr>
          <w:rFonts w:ascii="Times New Roman" w:hAnsi="Times New Roman"/>
          <w:sz w:val="20"/>
          <w:u w:val="single"/>
        </w:rPr>
        <w:t>Section 2.5</w:t>
      </w:r>
      <w:r>
        <w:rPr>
          <w:rFonts w:ascii="Times New Roman" w:hAnsi="Times New Roman"/>
          <w:sz w:val="20"/>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unless such written submission is required to comply with any applicable law or regulation. In the event that, despite the Company’s best efforts and compliance with the terms of this </w:t>
      </w:r>
      <w:r>
        <w:rPr>
          <w:rFonts w:ascii="Times New Roman" w:hAnsi="Times New Roman"/>
          <w:sz w:val="20"/>
          <w:u w:val="single"/>
        </w:rPr>
        <w:t>Section 2.5</w:t>
      </w:r>
      <w:r>
        <w:rPr>
          <w:rFonts w:ascii="Times New Roman" w:hAnsi="Times New Roman"/>
          <w:sz w:val="20"/>
        </w:rPr>
        <w:t>, the SEC does not alter its position, the Company shall (i) remove from such Registration Statement such portion of the Registrable Securities required by the SEC to be removed (the “</w:t>
      </w:r>
      <w:r>
        <w:rPr>
          <w:rFonts w:ascii="Times New Roman" w:hAnsi="Times New Roman"/>
          <w:sz w:val="20"/>
          <w:u w:val="single"/>
        </w:rPr>
        <w:t>Cut Back Shares</w:t>
      </w:r>
      <w:r>
        <w:rPr>
          <w:rFonts w:ascii="Times New Roman" w:hAnsi="Times New Roman"/>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 w:hAnsi="Times New Roman"/>
          <w:sz w:val="20"/>
          <w:u w:val="single"/>
        </w:rPr>
        <w:t>SEC Restrictions</w:t>
      </w:r>
      <w:r>
        <w:rPr>
          <w:rFonts w:ascii="Times New Roman" w:hAnsi="Times New Roman"/>
          <w:sz w:val="20"/>
        </w:rPr>
        <w:t>”); provided, however, that the Company shall not agree to name the Investor as an “underwriter” in such Registration Statement without the prior written consent of the Investor. In the event of a cutback hereunder, the Company shall give the Investor at least five (5) Business Days prior written notice along with the calculations of the Investor’s allotment.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hAnsi="Times New Roman"/>
          <w:sz w:val="20"/>
          <w:u w:val="single"/>
        </w:rPr>
        <w:t>Restriction Termination Date</w:t>
      </w:r>
      <w:r>
        <w:rPr>
          <w:rFonts w:ascii="Times New Roman" w:hAnsi="Times New Roman"/>
          <w:sz w:val="20"/>
        </w:rPr>
        <w:t xml:space="preserve">”). In furtherance of the foregoing, in the event of SEC Restrictions, the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w:t>
      </w:r>
      <w:r>
        <w:rPr>
          <w:rFonts w:ascii="Times New Roman" w:hAnsi="Times New Roman"/>
          <w:sz w:val="20"/>
          <w:u w:val="single"/>
        </w:rPr>
        <w:t>Section 2</w:t>
      </w:r>
      <w:r>
        <w:rPr>
          <w:rFonts w:ascii="Times New Roman" w:hAnsi="Times New Roman"/>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provided, however, that (i) the Filing Deadline for such Registration Statement including such Cut Back Shares shall be ten (10) Business Days after such Restriction Termination Date, and (ii) the date by which the Company is required to obtain effectiveness with respect to such Cut Back Shares under </w:t>
      </w:r>
      <w:r>
        <w:rPr>
          <w:rFonts w:ascii="Times New Roman" w:hAnsi="Times New Roman"/>
          <w:sz w:val="20"/>
          <w:u w:val="single"/>
        </w:rPr>
        <w:t>Section 2.3</w:t>
      </w:r>
      <w:r>
        <w:rPr>
          <w:rFonts w:ascii="Times New Roman" w:hAnsi="Times New Roman"/>
          <w:sz w:val="20"/>
        </w:rPr>
        <w:t xml:space="preserve"> shall be the 90th day immediately after the Restriction Termination Date (or the 120th day if the SEC reviews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ADS Registration</w:t>
      </w:r>
      <w:r>
        <w:rPr>
          <w:rFonts w:ascii="Times New Roman" w:hAnsi="Times New Roman"/>
          <w:sz w:val="20"/>
        </w:rPr>
        <w:t xml:space="preserve">. Until the end of the last Effectiveness Period (as defined below), the Company shall use its commercially reasonable efforts to ensure that the ADSs representing Ordinary Shares constituting Registrable Securities are registered under the 1933 Act and that the ADSs are registered under the 1934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Obligations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use commercially reasonable efforts to effect the registration of the Registrable Securities in accordance with the terms hereof, and pursuant thereto the Company will, as expeditiously as possible: </w:t>
      </w:r>
    </w:p>
    <w:p>
      <w:pPr>
        <w:pStyle w:val="TextBody"/>
        <w:bidi w:val="0"/>
        <w:spacing w:before="240" w:after="0"/>
        <w:jc w:val="left"/>
        <w:rPr>
          <w:rFonts w:ascii="Times New Roman" w:hAnsi="Times New Roman"/>
          <w:sz w:val="20"/>
        </w:rPr>
      </w:pPr>
      <w:r>
        <w:rPr>
          <w:rFonts w:ascii="Times New Roman" w:hAnsi="Times New Roman"/>
          <w:sz w:val="20"/>
        </w:rPr>
        <w:t>(a) use commercially reasonable efforts to cause each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there cease to be any Registrable Securities (the “</w:t>
      </w:r>
      <w:r>
        <w:rPr>
          <w:rFonts w:ascii="Times New Roman" w:hAnsi="Times New Roman"/>
          <w:sz w:val="20"/>
          <w:u w:val="single"/>
        </w:rPr>
        <w:t>Effectiveness Period</w:t>
      </w:r>
      <w:r>
        <w:rPr>
          <w:rFonts w:ascii="Times New Roman" w:hAnsi="Times New Roman"/>
          <w:sz w:val="20"/>
        </w:rPr>
        <w:t xml:space="preserve">”) and advise the Investor promptly in writing when the Effectiveness Period has expired;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(c) provide copies to and permit Investor to review each Registration Statement and all amendments and supplements thereto prior to their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(d) furnish to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Investor may reasonably request in order to facilitate the disposition of the Registrable Securities owned by Investor that are covered by such Registration Statement (it being understood and agreed that such documents, or access thereto, may be provided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(e) use best efforts to (i) prevent the issuance of any stop order or other suspension of effectiveness and, (ii) if such order is issued, obtain the withdrawal of any such order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(f) prior to any public offering of Registrable Securities, use best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 w:hAnsi="Times New Roman"/>
          <w:sz w:val="20"/>
          <w:u w:val="single"/>
        </w:rPr>
        <w:t>Section 3(f)</w:t>
      </w:r>
      <w:r>
        <w:rPr>
          <w:rFonts w:ascii="Times New Roman" w:hAnsi="Times New Roman"/>
          <w:sz w:val="20"/>
        </w:rPr>
        <w:t xml:space="preserve">, (ii) subject itself to general taxation in any jurisdiction where it would not otherwise be so subject but for this </w:t>
      </w:r>
      <w:r>
        <w:rPr>
          <w:rFonts w:ascii="Times New Roman" w:hAnsi="Times New Roman"/>
          <w:sz w:val="20"/>
          <w:u w:val="single"/>
        </w:rPr>
        <w:t>Section 3(f)</w:t>
      </w:r>
      <w:r>
        <w:rPr>
          <w:rFonts w:ascii="Times New Roman" w:hAnsi="Times New Roman"/>
          <w:sz w:val="20"/>
        </w:rPr>
        <w:t xml:space="preserve">, or (iii) file a general consent to service of process in any such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use best efforts to cause all Registrable Securities covered by a Registration Statement to be listed on each securities exchange, interdealer quotation system or other market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(h) promptly notify the Investor, at any time prior to the end of the last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Investor, disclose to Investor any material nonpublic information regarding the Company),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 </w:t>
      </w:r>
    </w:p>
    <w:p>
      <w:pPr>
        <w:pStyle w:val="TextBody"/>
        <w:bidi w:val="0"/>
        <w:spacing w:before="240" w:after="0"/>
        <w:jc w:val="left"/>
        <w:rPr>
          <w:rFonts w:ascii="Times New Roman" w:hAnsi="Times New Roman"/>
          <w:sz w:val="20"/>
        </w:rPr>
      </w:pPr>
      <w:r>
        <w:rPr>
          <w:rFonts w:ascii="Times New Roman" w:hAnsi="Times New Roman"/>
          <w:sz w:val="20"/>
        </w:rPr>
        <w:t xml:space="preserve">(i) otherwise use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 in writing if, at any time during the Effectiveness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(j) within two (2) Business Days after a Registration Statement which covers Registrable Securities is ordered effective by the SEC, the Company shall deliver to the Depositary (with a copy to the Investor whose Registrable Securities are included in such Registration Statement, of which an email confirmation is sufficient) confirmation that such Registration Statement has been declared effective by the SEC; </w:t>
      </w:r>
    </w:p>
    <w:p>
      <w:pPr>
        <w:pStyle w:val="TextBody"/>
        <w:bidi w:val="0"/>
        <w:spacing w:before="240" w:after="0"/>
        <w:jc w:val="left"/>
        <w:rPr>
          <w:rFonts w:ascii="Times New Roman" w:hAnsi="Times New Roman"/>
          <w:sz w:val="20"/>
        </w:rPr>
      </w:pPr>
      <w:r>
        <w:rPr>
          <w:rFonts w:ascii="Times New Roman" w:hAnsi="Times New Roman"/>
          <w:sz w:val="20"/>
        </w:rPr>
        <w:t xml:space="preserve">(k) with a view to making available to the Investor the benefits of Rule 144 (or its successor rule) and any other rule or regulation of the SEC that may at any time permit the Investor to sell the Shares to the public without registration, the Company covenants and agrees to: (i) make and keep adequate current public information available, as such term is defined in Rule 144, until the earlier of (A) six months after such date as all of the Shares may be sold without restriction (including any volume or manner-of-sale restrictions and taking into consideration the tacking provisions available under Rule 144) by the holders thereof pursuant to Rule 144 or any other rule of similar effect or (B) such date as all of the Shares shall have been resold; (ii) file with the SEC in a timely manner all reports and other documents required of the Company under the 1934 Act; and (iii) furnish to Investor upon request, as long as Investor owns any Shares, (A) a written statement by the Company that it has complied with the reporting requirements of the 1934 Act, (B) a copy of the Company’s most recent Annual Report on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20-F or Form 10-K, as the case may be, or quarterly financial statements on Form 6-K or Form 10-Q, as the case may be (of which a link to such filing on the SEC’s EDGAR website shall be sufficient), and (C) such other information as may be reasonably requested in order to avail Investor of any rule or regulation of the SEC that permits the selling of the Registrable Securities without registration; </w:t>
      </w:r>
    </w:p>
    <w:p>
      <w:pPr>
        <w:pStyle w:val="TextBody"/>
        <w:bidi w:val="0"/>
        <w:spacing w:before="240" w:after="0"/>
        <w:jc w:val="left"/>
        <w:rPr>
          <w:rFonts w:ascii="Times New Roman" w:hAnsi="Times New Roman"/>
          <w:sz w:val="20"/>
        </w:rPr>
      </w:pPr>
      <w:r>
        <w:rPr>
          <w:rFonts w:ascii="Times New Roman" w:hAnsi="Times New Roman"/>
          <w:sz w:val="20"/>
        </w:rPr>
        <w:t xml:space="preserve">(l) without limiting the foregoing, use its commercially reasonable efforts to cause such Registrable Securities to be registered with or approved by such other governmental agencies or authorities as may be necessary by virtue of the business and operations of the Company to enable the holders of such Registrable Securities to consummate the disposition of such Registrable Securities in accordance with their intended method of distribution thereof, </w:t>
      </w:r>
      <w:r>
        <w:rPr>
          <w:rFonts w:ascii="Times New Roman" w:hAnsi="Times New Roman"/>
          <w:sz w:val="20"/>
          <w:u w:val="single"/>
        </w:rPr>
        <w:t>provided</w:t>
      </w:r>
      <w:r>
        <w:rPr>
          <w:rFonts w:ascii="Times New Roman" w:hAnsi="Times New Roman"/>
          <w:sz w:val="20"/>
        </w:rPr>
        <w:t xml:space="preserve"> that in no event shall the Company be obligated to qualify to do business in any jurisdiction where it is not now so qualified or to take any action that would subject it to service of process in suits in any jurisdiction where it is not now so subject; </w:t>
      </w:r>
    </w:p>
    <w:p>
      <w:pPr>
        <w:pStyle w:val="TextBody"/>
        <w:bidi w:val="0"/>
        <w:spacing w:before="240" w:after="0"/>
        <w:jc w:val="left"/>
        <w:rPr>
          <w:rFonts w:ascii="Times New Roman" w:hAnsi="Times New Roman"/>
          <w:sz w:val="20"/>
        </w:rPr>
      </w:pPr>
      <w:r>
        <w:rPr>
          <w:rFonts w:ascii="Times New Roman" w:hAnsi="Times New Roman"/>
          <w:sz w:val="20"/>
        </w:rPr>
        <w:t xml:space="preserve">(m) notify the holders of Registrable Securities promptly of any request by the SEC for the amending or supplementing of such Registration Statement or Prospectus or for additional information; </w:t>
      </w:r>
    </w:p>
    <w:p>
      <w:pPr>
        <w:pStyle w:val="TextBody"/>
        <w:bidi w:val="0"/>
        <w:spacing w:before="240" w:after="0"/>
        <w:jc w:val="left"/>
        <w:rPr>
          <w:rFonts w:ascii="Times New Roman" w:hAnsi="Times New Roman"/>
          <w:sz w:val="20"/>
        </w:rPr>
      </w:pPr>
      <w:r>
        <w:rPr>
          <w:rFonts w:ascii="Times New Roman" w:hAnsi="Times New Roman"/>
          <w:sz w:val="20"/>
        </w:rPr>
        <w:t>(n)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the Registrable Securities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 (the “</w:t>
      </w:r>
      <w:r>
        <w:rPr>
          <w:rFonts w:ascii="Times New Roman" w:hAnsi="Times New Roman"/>
          <w:sz w:val="20"/>
          <w:u w:val="single"/>
        </w:rPr>
        <w:t>DTCDRS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not later than the effective date of such Registration Statement, provide a CUSIP number for all Registrable Securities and provide the applicable transfer agent with printed certificates or uncertificated shares for the Registrable Securities which are in a form eligible for deposit with The Depository Trust Company; for the avoidance of doubt, that the Company may satisfy its obligations hereunder without issuing physical stock certificates through the use of the DTCDRS; </w:t>
      </w:r>
    </w:p>
    <w:p>
      <w:pPr>
        <w:pStyle w:val="TextBody"/>
        <w:bidi w:val="0"/>
        <w:spacing w:before="240" w:after="0"/>
        <w:jc w:val="left"/>
        <w:rPr>
          <w:rFonts w:ascii="Times New Roman" w:hAnsi="Times New Roman"/>
          <w:sz w:val="20"/>
        </w:rPr>
      </w:pPr>
      <w:r>
        <w:rPr>
          <w:rFonts w:ascii="Times New Roman" w:hAnsi="Times New Roman"/>
          <w:sz w:val="20"/>
        </w:rPr>
        <w:t xml:space="preserve">(p) take no direct or indirect action prohibited by Regulation M under the 1934 Act; </w:t>
      </w:r>
      <w:r>
        <w:rPr>
          <w:rFonts w:ascii="Times New Roman" w:hAnsi="Times New Roman"/>
          <w:sz w:val="20"/>
          <w:u w:val="single"/>
        </w:rPr>
        <w:t>provided</w:t>
      </w:r>
      <w:r>
        <w:rPr>
          <w:rFonts w:ascii="Times New Roman" w:hAnsi="Times New Roman"/>
          <w:sz w:val="20"/>
        </w:rPr>
        <w:t xml:space="preserve">, that, to the extent that any prohibition is applicable to the Company, the Company will take all reasonable action to make any such prohibition inapplicable; and </w:t>
      </w:r>
    </w:p>
    <w:p>
      <w:pPr>
        <w:pStyle w:val="TextBody"/>
        <w:bidi w:val="0"/>
        <w:spacing w:before="240" w:after="0"/>
        <w:jc w:val="left"/>
        <w:rPr>
          <w:rFonts w:ascii="Times New Roman" w:hAnsi="Times New Roman"/>
          <w:sz w:val="20"/>
        </w:rPr>
      </w:pPr>
      <w:r>
        <w:rPr>
          <w:rFonts w:ascii="Times New Roman" w:hAnsi="Times New Roman"/>
          <w:sz w:val="20"/>
        </w:rPr>
        <w:t xml:space="preserve">(q) otherwise use its commercially reasonable efforts to take all other steps necessary to effect the registration of such Registrable Securities contemplated hereby to the extent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Due Diligence Review; Information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Company shall, upon reasonable prior notice, make available, during normal business hours, for inspection and review by the Investor and any attorneys, accountants, advisors to and representatives of the Investor (who may or may not be affiliated with the Investor) (collectively, the “</w:t>
      </w:r>
      <w:r>
        <w:rPr>
          <w:rFonts w:ascii="Times New Roman" w:hAnsi="Times New Roman"/>
          <w:sz w:val="20"/>
          <w:u w:val="single"/>
        </w:rPr>
        <w:t>Inspectors</w:t>
      </w:r>
      <w:r>
        <w:rPr>
          <w:rFonts w:ascii="Times New Roman" w:hAnsi="Times New Roman"/>
          <w:sz w:val="20"/>
        </w:rPr>
        <w:t>”), all pertinent financial and other records, and all other corporate documents and properties of the Company (collectively, the “</w:t>
      </w:r>
      <w:r>
        <w:rPr>
          <w:rFonts w:ascii="Times New Roman" w:hAnsi="Times New Roman"/>
          <w:sz w:val="20"/>
          <w:u w:val="single"/>
        </w:rPr>
        <w:t>Records</w:t>
      </w:r>
      <w:r>
        <w:rPr>
          <w:rFonts w:ascii="Times New Roman" w:hAnsi="Times New Roman"/>
          <w:sz w:val="20"/>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Investor and its accountants and attorneys to conduct such due diligence for the purpose of establishing a due diligence defense to underwriter liability under the 1933 Act; provided, however, that the Inspectors shall have agreed in writing to hold in strict confidence and to not make any disclosure (except to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w:t>
      </w:r>
      <w:r>
        <w:rPr>
          <w:rFonts w:ascii="Times New Roman" w:hAnsi="Times New Roman"/>
          <w:sz w:val="20"/>
          <w:u w:val="single"/>
        </w:rPr>
        <w:t>Section 4</w:t>
      </w:r>
      <w:r>
        <w:rPr>
          <w:rFonts w:ascii="Times New Roman" w:hAnsi="Times New Roman"/>
          <w:sz w:val="20"/>
        </w:rPr>
        <w:t xml:space="preserve">.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shall not disclose material nonpublic information and/or inside information (as defined in Article 7 of the Market Abuse Regulation (EU) No. 596/2014 as it forms part of domestic law in the United Kingdom by virtue of the European Union (Withdrawal) Act) to the Investor, or to advisors to or representatives of the Investor, unless prior to disclosure of such information the Company identifies such information as being material nonpublic information and/or inside information and provides to the Investor, its advisors and its representatives with the opportunity to accept or refuse to accept such material nonpublic information and/or inside information for review and the Investor wishing to obtain such information enters into an appropriate confidentiality and non-use agreement with the Company with respect thereto (including with respect to any board designation right of the Investor).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Obligations of the Investor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The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including the Selling Securityholder Questionnaire, in connection with such registration as the Company may reasonably request. At least five (5) Business Days prior to the first anticipated filing date of any Registration Statement, the Company shall notify Investor of the information the Company requires from Investor if Investor elects to have any of the Registrable Securities included in such Registration Statement. The Investor shall provide such information to the Company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two (2) Business Days prior to the first anticipated filing date of such Registration Statement if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that (i)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Investor, by its acceptance of the Registrable Securities, agrees to cooperate with the Company as reasonably requested by the Company in connection with the preparation and filing of a Registration Statement hereunder, unless Investor has notified the Company in writing of its election to exclude all of its Registrable Securities from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Investor agrees that, upon receipt of any notice from the Company of either (i) the commencement of an Allowed Delay pursuant to </w:t>
      </w:r>
      <w:r>
        <w:rPr>
          <w:rFonts w:ascii="Times New Roman" w:hAnsi="Times New Roman"/>
          <w:sz w:val="20"/>
          <w:u w:val="single"/>
        </w:rPr>
        <w:t>Section 2.3(b)</w:t>
      </w:r>
      <w:r>
        <w:rPr>
          <w:rFonts w:ascii="Times New Roman" w:hAnsi="Times New Roman"/>
          <w:sz w:val="20"/>
        </w:rPr>
        <w:t xml:space="preserve"> or (ii) the happening of an event pursuant to </w:t>
      </w:r>
      <w:r>
        <w:rPr>
          <w:rFonts w:ascii="Times New Roman" w:hAnsi="Times New Roman"/>
          <w:sz w:val="20"/>
          <w:u w:val="single"/>
        </w:rPr>
        <w:t>Section 3(h)</w:t>
      </w:r>
      <w:r>
        <w:rPr>
          <w:rFonts w:ascii="Times New Roman" w:hAnsi="Times New Roman"/>
          <w:sz w:val="20"/>
        </w:rPr>
        <w:t xml:space="preserve"> hereof, Investor will immediately discontinue disposition of Registrable Securities pursuant to any Registration Statement covering such Registrable Securities, until the Investor is advised by the Company that such dispositions may again be made. </w:t>
      </w:r>
    </w:p>
    <w:p>
      <w:pPr>
        <w:pStyle w:val="TextBody"/>
        <w:bidi w:val="0"/>
        <w:spacing w:before="240" w:after="0"/>
        <w:jc w:val="left"/>
        <w:rPr>
          <w:rFonts w:ascii="Times New Roman" w:hAnsi="Times New Roman"/>
          <w:sz w:val="20"/>
        </w:rPr>
      </w:pPr>
      <w:r>
        <w:rPr>
          <w:rFonts w:ascii="Times New Roman" w:hAnsi="Times New Roman"/>
          <w:sz w:val="20"/>
        </w:rPr>
        <w:t xml:space="preserve">(d) Investor covenants and agrees that it will comply with the prospectus delivery requirements of the 1933 Act as applicable to it or an exemption therefrom in connection with sales of Registrable Securities pursuant to any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Indemnification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Indemnification by the Company</w:t>
      </w:r>
      <w:r>
        <w:rPr>
          <w:rFonts w:ascii="Times New Roman" w:hAnsi="Times New Roman"/>
          <w:sz w:val="20"/>
        </w:rPr>
        <w:t xml:space="preserve">. The Company will indemnify and hold harmless Investor and its officers, directors, partners, members, employees, investment advisers and agents, and each other person, if any, who controls Investor within the meaning of the 1933 Act, against any losses, claims, costs (including reasonable costs of preparation and reasonable attorneys’, accountants’ and experts’ fees), expenses, judgments, fines, damages or liabilities, joint or several, interest, settlements or any other amounts to which they may become subject under the 1933 Act or otherwise, insofar as such losses, claims, damages or liabilities (or actions in respect thereof) arise out of, result from, relate to,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or its agents of the 1933 Act, the 1934 Act, any state securities laws or any rule or regulation promulgated thereunder applicable to the Company or its agents and relating to action or inaction required of the Company in connection with such registration, and will reimburse Investor, and each such officer, director, partner, member, employee, investment adviser, agent and each such controlling person for any documented legal or other documented, out-of-pocket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Investor or any such controlling person in writing specifically for use in such Registration Statement or Prospectus, (ii) the use by an Investor of an outdated or defective Prospectus after the Company has notified Investor in writing that such Prospectus is outdated or defective,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the Investor’s bad faith, gross negligence, recklessness,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Indemnification by the Investor</w:t>
      </w:r>
      <w:r>
        <w:rPr>
          <w:rFonts w:ascii="Times New Roman" w:hAnsi="Times New Roman"/>
          <w:sz w:val="20"/>
        </w:rPr>
        <w:t xml:space="preserve">.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Investor to the Company specifically for inclusion in such Registration Statement or Prospectus or amendment or supplement thereto. In no event shall the liability of Investor be greater in amount than the dollar amount of the proceeds (net of all expense paid by Investor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Investor has otherwise been required to pay by reason of such untrue statement or omission) received by Investor upon the sale of the Registrable Securities included in such Registration Statement giving rise to such indemnification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Conduct of Indemnification Proceedings</w:t>
      </w:r>
      <w:r>
        <w:rPr>
          <w:rFonts w:ascii="Times New Roman" w:hAnsi="Times New Roman"/>
          <w:sz w:val="20"/>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Contribution</w:t>
      </w:r>
      <w:r>
        <w:rPr>
          <w:rFonts w:ascii="Times New Roman" w:hAnsi="Times New Roman"/>
          <w:sz w:val="20"/>
        </w:rPr>
        <w:t xml:space="preserve">. If for any reason the indemnification provided for in the preceding </w:t>
      </w:r>
      <w:r>
        <w:rPr>
          <w:rFonts w:ascii="Times New Roman" w:hAnsi="Times New Roman"/>
          <w:sz w:val="20"/>
          <w:u w:val="single"/>
        </w:rPr>
        <w:t>Sections 6.1</w:t>
      </w:r>
      <w:r>
        <w:rPr>
          <w:rFonts w:ascii="Times New Roman" w:hAnsi="Times New Roman"/>
          <w:sz w:val="20"/>
        </w:rPr>
        <w:t xml:space="preserve"> and </w:t>
      </w:r>
      <w:r>
        <w:rPr>
          <w:rFonts w:ascii="Times New Roman" w:hAnsi="Times New Roman"/>
          <w:sz w:val="20"/>
          <w:u w:val="single"/>
        </w:rPr>
        <w:t>6.2</w:t>
      </w:r>
      <w:r>
        <w:rPr>
          <w:rFonts w:ascii="Times New Roman" w:hAnsi="Times New Roman"/>
          <w:sz w:val="20"/>
        </w:rPr>
        <w:t xml:space="preserve">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w:t>
      </w:r>
      <w:r>
        <w:rPr>
          <w:rFonts w:ascii="Times New Roman" w:hAnsi="Times New Roman"/>
          <w:sz w:val="20"/>
          <w:u w:val="single"/>
        </w:rPr>
        <w:t>Section 6</w:t>
      </w:r>
      <w:r>
        <w:rPr>
          <w:rFonts w:ascii="Times New Roman" w:hAnsi="Times New Roman"/>
          <w:sz w:val="20"/>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Preservation of Rights</w:t>
      </w:r>
      <w:r>
        <w:rPr>
          <w:rFonts w:ascii="Times New Roman" w:hAnsi="Times New Roman"/>
          <w:sz w:val="20"/>
        </w:rPr>
        <w:t xml:space="preserve">. The Company shall not enter into any agreement, take any action, or permit any change to occur, with respect to its securities that violates or subordinates the rights expressly granted to the holders of Registrable Securities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Amendments and Waivers</w:t>
      </w:r>
      <w:r>
        <w:rPr>
          <w:rFonts w:ascii="Times New Roman" w:hAnsi="Times New Roman"/>
          <w:sz w:val="20"/>
        </w:rPr>
        <w:t xml:space="preserve">. This Agreement may be amended only by a writing signed by the Company and the Investor. The Company may take any action herein prohibited, or omit to perform any act herein required to be performed by it, only if the Company shall have obtained the written consent to such amendment, action or omission from the Investor.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Notices</w:t>
      </w:r>
      <w:r>
        <w:rPr>
          <w:rFonts w:ascii="Times New Roman" w:hAnsi="Times New Roman"/>
          <w:sz w:val="20"/>
        </w:rPr>
        <w:t xml:space="preserve">. All notices and other communications provided for or permitted hereunder shall be made as set forth in Section 11.4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Assignments and Transfers by Investor</w:t>
      </w:r>
      <w:r>
        <w:rPr>
          <w:rFonts w:ascii="Times New Roman" w:hAnsi="Times New Roman"/>
          <w:sz w:val="20"/>
        </w:rPr>
        <w:t xml:space="preserve">. The provisions of this Agreement shall be binding upon and inure to the benefit of the Investor and its successors and assigns. Investor may transfer or assign, in whole or from time to time in part, to one or more persons its rights hereunder in connection with the transfer of Registrable Securities by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and (iv) at or before the time the Company receives the written notice contemplated by clause (ii) of this sentence the transferee or assignee agrees in writing with the Company to be bound by all of the provisions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Assignments and Transfers by the Company</w:t>
      </w:r>
      <w:r>
        <w:rPr>
          <w:rFonts w:ascii="Times New Roman" w:hAnsi="Times New Roman"/>
          <w:sz w:val="20"/>
        </w:rPr>
        <w:t xml:space="preserve">. This Agreement may not be assigned by the Company (whether by operation of law or otherwise) without the prior written consent of the Investor, provided, however, that in the event that the Company is a party to a merger, consolidation, share exchange or similar business combination transaction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or receivable by the Investor in connection with such transaction unless such securities are otherwise freely tradable by the Investor after giving effect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Benefits of the Agreement</w:t>
      </w:r>
      <w:r>
        <w:rPr>
          <w:rFonts w:ascii="Times New Roman" w:hAnsi="Times New Roman"/>
          <w:sz w:val="20"/>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Severability</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Further Assurances</w:t>
      </w:r>
      <w:r>
        <w:rPr>
          <w:rFonts w:ascii="Times New Roman" w:hAnsi="Times New Roman"/>
          <w:sz w:val="20"/>
        </w:rPr>
        <w:t xml:space="preserve">. The parties shall execute and deliver all such further instruments and documents and take all such other actions as may reasonably be required to carry out the transactions contemplated hereby and to evidence the fulfillment of the agreements herein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Entire Agreement</w:t>
      </w:r>
      <w:r>
        <w:rPr>
          <w:rFonts w:ascii="Times New Roman" w:hAnsi="Times New Roman"/>
          <w:sz w:val="20"/>
        </w:rPr>
        <w:t xml:space="preserve">. This Agreement is intended by the parties as a final expression of their agreement with respect to registration of the Shares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New York.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Cumulative Remedies</w:t>
      </w:r>
      <w:r>
        <w:rPr>
          <w:rFonts w:ascii="Times New Roman" w:hAnsi="Times New Roman"/>
          <w:sz w:val="20"/>
        </w:rPr>
        <w:t xml:space="preserve">. The remedies provided herein are cumulative and not exclusive of any remedies provided by law.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or caused their duly authorized officers to execute this Agreement as of the date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96"/>
        <w:gridCol w:w="123"/>
        <w:gridCol w:w="898"/>
        <w:gridCol w:w="123"/>
        <w:gridCol w:w="372"/>
        <w:gridCol w:w="123"/>
        <w:gridCol w:w="4170"/>
      </w:tblGrid>
      <w:tr>
        <w:trPr/>
        <w:tc>
          <w:tcPr>
            <w:tcW w:w="43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170" w:type="dxa"/>
            <w:tcBorders/>
            <w:vAlign w:val="center"/>
          </w:tcPr>
          <w:p>
            <w:pPr>
              <w:pStyle w:val="TableContents"/>
              <w:bidi w:val="0"/>
              <w:spacing w:before="0" w:after="283"/>
              <w:jc w:val="left"/>
              <w:rPr>
                <w:sz w:val="4"/>
                <w:szCs w:val="4"/>
              </w:rPr>
            </w:pPr>
            <w:r>
              <w:rPr>
                <w:sz w:val="4"/>
                <w:szCs w:val="4"/>
              </w:rPr>
            </w:r>
          </w:p>
        </w:tc>
      </w:tr>
      <w:tr>
        <w:trPr/>
        <w:tc>
          <w:tcPr>
            <w:tcW w:w="4396" w:type="dxa"/>
            <w:tcBorders/>
          </w:tcPr>
          <w:p>
            <w:pPr>
              <w:pStyle w:val="TableContents"/>
              <w:bidi w:val="0"/>
              <w:spacing w:before="0" w:after="283"/>
              <w:jc w:val="left"/>
              <w:rPr>
                <w:b/>
              </w:rPr>
            </w:pPr>
            <w:r>
              <w:rPr>
                <w:b/>
              </w:rPr>
              <w:t>COMPANY:</w:t>
            </w:r>
          </w:p>
        </w:tc>
        <w:tc>
          <w:tcPr>
            <w:tcW w:w="123" w:type="dxa"/>
            <w:tcBorders/>
            <w:vAlign w:val="bottom"/>
          </w:tcPr>
          <w:p>
            <w:pPr>
              <w:pStyle w:val="TableContents"/>
              <w:bidi w:val="0"/>
              <w:spacing w:before="0" w:after="283"/>
              <w:jc w:val="left"/>
              <w:rPr/>
            </w:pPr>
            <w:r>
              <w:rPr/>
              <w:t>  </w:t>
            </w:r>
          </w:p>
        </w:tc>
        <w:tc>
          <w:tcPr>
            <w:tcW w:w="8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665" w:type="dxa"/>
            <w:gridSpan w:val="3"/>
            <w:tcBorders/>
          </w:tcPr>
          <w:p>
            <w:pPr>
              <w:pStyle w:val="TableContents"/>
              <w:bidi w:val="0"/>
              <w:spacing w:before="0" w:after="283"/>
              <w:jc w:val="left"/>
              <w:rPr>
                <w:b/>
              </w:rPr>
            </w:pPr>
            <w:r>
              <w:rPr>
                <w:b/>
              </w:rPr>
              <w:t>AUTOLUS THERAPEUTICS PLC</w:t>
            </w:r>
          </w:p>
        </w:tc>
      </w:tr>
      <w:tr>
        <w:trPr>
          <w:trHeight w:val="195" w:hRule="atLeast"/>
        </w:trPr>
        <w:tc>
          <w:tcPr>
            <w:tcW w:w="4396" w:type="dxa"/>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495" w:type="dxa"/>
            <w:gridSpan w:val="2"/>
            <w:tcBorders/>
            <w:vAlign w:val="center"/>
          </w:tcPr>
          <w:p>
            <w:pPr>
              <w:pStyle w:val="TableContents"/>
              <w:bidi w:val="0"/>
              <w:spacing w:before="0" w:after="283"/>
              <w:jc w:val="left"/>
              <w:rPr>
                <w:sz w:val="4"/>
                <w:szCs w:val="4"/>
              </w:rPr>
            </w:pPr>
            <w:r>
              <w:rPr>
                <w:sz w:val="4"/>
                <w:szCs w:val="4"/>
              </w:rPr>
            </w:r>
          </w:p>
        </w:tc>
        <w:tc>
          <w:tcPr>
            <w:tcW w:w="4293" w:type="dxa"/>
            <w:gridSpan w:val="2"/>
            <w:tcBorders/>
            <w:vAlign w:val="center"/>
          </w:tcPr>
          <w:p>
            <w:pPr>
              <w:pStyle w:val="TableContents"/>
              <w:bidi w:val="0"/>
              <w:spacing w:before="0" w:after="283"/>
              <w:jc w:val="left"/>
              <w:rPr>
                <w:sz w:val="4"/>
                <w:szCs w:val="4"/>
              </w:rPr>
            </w:pPr>
            <w:r>
              <w:rPr>
                <w:sz w:val="4"/>
                <w:szCs w:val="4"/>
              </w:rPr>
            </w:r>
          </w:p>
        </w:tc>
      </w:tr>
      <w:tr>
        <w:trPr/>
        <w:tc>
          <w:tcPr>
            <w:tcW w:w="43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8"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417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Itin</w:t>
            </w:r>
          </w:p>
        </w:tc>
      </w:tr>
      <w:tr>
        <w:trPr/>
        <w:tc>
          <w:tcPr>
            <w:tcW w:w="43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170" w:type="dxa"/>
            <w:tcBorders/>
          </w:tcPr>
          <w:p>
            <w:pPr>
              <w:pStyle w:val="TableContents"/>
              <w:bidi w:val="0"/>
              <w:spacing w:before="0" w:after="283"/>
              <w:jc w:val="left"/>
              <w:rPr/>
            </w:pPr>
            <w:r>
              <w:rPr/>
              <w:t>Name: Christian Itin</w:t>
            </w:r>
          </w:p>
        </w:tc>
      </w:tr>
      <w:tr>
        <w:trPr/>
        <w:tc>
          <w:tcPr>
            <w:tcW w:w="43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98"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7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4170"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102"/>
        <w:gridCol w:w="4593"/>
        <w:gridCol w:w="101"/>
        <w:gridCol w:w="4696"/>
      </w:tblGrid>
      <w:tr>
        <w:trPr/>
        <w:tc>
          <w:tcPr>
            <w:tcW w:w="7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540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Contact Information:</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r>
        <w:trPr>
          <w:trHeight w:val="195" w:hRule="atLeast"/>
        </w:trPr>
        <w:tc>
          <w:tcPr>
            <w:tcW w:w="713" w:type="dxa"/>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02" w:type="dxa"/>
            <w:tcBorders/>
            <w:vAlign w:val="bottom"/>
          </w:tcPr>
          <w:p>
            <w:pPr>
              <w:pStyle w:val="TableContents"/>
              <w:bidi w:val="0"/>
              <w:spacing w:before="0" w:after="283"/>
              <w:jc w:val="left"/>
              <w:rPr/>
            </w:pPr>
            <w:r>
              <w:rPr/>
              <w:t> </w:t>
            </w:r>
          </w:p>
        </w:tc>
        <w:tc>
          <w:tcPr>
            <w:tcW w:w="45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The Media Works</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r>
        <w:trPr>
          <w:trHeight w:val="195" w:hRule="atLeast"/>
        </w:trPr>
        <w:tc>
          <w:tcPr>
            <w:tcW w:w="5408" w:type="dxa"/>
            <w:gridSpan w:val="3"/>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5408"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191 Wood Lane</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r>
        <w:trPr>
          <w:trHeight w:val="195" w:hRule="atLeast"/>
        </w:trPr>
        <w:tc>
          <w:tcPr>
            <w:tcW w:w="5408" w:type="dxa"/>
            <w:gridSpan w:val="3"/>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5408"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London W12 7FP, United Kingdom</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r>
        <w:trPr>
          <w:trHeight w:val="195" w:hRule="atLeast"/>
        </w:trPr>
        <w:tc>
          <w:tcPr>
            <w:tcW w:w="713" w:type="dxa"/>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c>
          <w:tcPr>
            <w:tcW w:w="102" w:type="dxa"/>
            <w:tcBorders/>
            <w:vAlign w:val="bottom"/>
          </w:tcPr>
          <w:p>
            <w:pPr>
              <w:pStyle w:val="TableContents"/>
              <w:bidi w:val="0"/>
              <w:spacing w:before="0" w:after="283"/>
              <w:jc w:val="left"/>
              <w:rPr/>
            </w:pPr>
            <w:r>
              <w:rPr/>
              <w:t> </w:t>
            </w:r>
          </w:p>
        </w:tc>
        <w:tc>
          <w:tcPr>
            <w:tcW w:w="45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N/A</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r>
        <w:trPr>
          <w:trHeight w:val="195" w:hRule="atLeast"/>
        </w:trPr>
        <w:tc>
          <w:tcPr>
            <w:tcW w:w="713" w:type="dxa"/>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c>
          <w:tcPr>
            <w:tcW w:w="4797"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02" w:type="dxa"/>
            <w:tcBorders/>
            <w:vAlign w:val="bottom"/>
          </w:tcPr>
          <w:p>
            <w:pPr>
              <w:pStyle w:val="TableContents"/>
              <w:bidi w:val="0"/>
              <w:spacing w:before="0" w:after="283"/>
              <w:jc w:val="left"/>
              <w:rPr/>
            </w:pPr>
            <w:r>
              <w:rPr/>
              <w:t> </w:t>
            </w:r>
          </w:p>
        </w:tc>
        <w:tc>
          <w:tcPr>
            <w:tcW w:w="459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or caused their duly authorized officers to execute this Agreement as of the date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6"/>
        <w:gridCol w:w="124"/>
        <w:gridCol w:w="906"/>
        <w:gridCol w:w="124"/>
        <w:gridCol w:w="374"/>
        <w:gridCol w:w="124"/>
        <w:gridCol w:w="4117"/>
      </w:tblGrid>
      <w:tr>
        <w:trPr/>
        <w:tc>
          <w:tcPr>
            <w:tcW w:w="443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117" w:type="dxa"/>
            <w:tcBorders/>
            <w:vAlign w:val="center"/>
          </w:tcPr>
          <w:p>
            <w:pPr>
              <w:pStyle w:val="TableContents"/>
              <w:bidi w:val="0"/>
              <w:spacing w:before="0" w:after="283"/>
              <w:jc w:val="left"/>
              <w:rPr>
                <w:sz w:val="4"/>
                <w:szCs w:val="4"/>
              </w:rPr>
            </w:pPr>
            <w:r>
              <w:rPr>
                <w:sz w:val="4"/>
                <w:szCs w:val="4"/>
              </w:rPr>
            </w:r>
          </w:p>
        </w:tc>
      </w:tr>
      <w:tr>
        <w:trPr/>
        <w:tc>
          <w:tcPr>
            <w:tcW w:w="4436" w:type="dxa"/>
            <w:tcBorders/>
          </w:tcPr>
          <w:p>
            <w:pPr>
              <w:pStyle w:val="TableContents"/>
              <w:bidi w:val="0"/>
              <w:spacing w:before="0" w:after="283"/>
              <w:jc w:val="left"/>
              <w:rPr>
                <w:b/>
              </w:rPr>
            </w:pPr>
            <w:r>
              <w:rPr>
                <w:b/>
              </w:rPr>
              <w:t>INVESTOR:</w:t>
            </w:r>
          </w:p>
        </w:tc>
        <w:tc>
          <w:tcPr>
            <w:tcW w:w="124" w:type="dxa"/>
            <w:tcBorders/>
            <w:vAlign w:val="bottom"/>
          </w:tcPr>
          <w:p>
            <w:pPr>
              <w:pStyle w:val="TableContents"/>
              <w:bidi w:val="0"/>
              <w:spacing w:before="0" w:after="283"/>
              <w:jc w:val="left"/>
              <w:rPr/>
            </w:pPr>
            <w:r>
              <w:rPr/>
              <w:t>  </w:t>
            </w:r>
          </w:p>
        </w:tc>
        <w:tc>
          <w:tcPr>
            <w:tcW w:w="90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615" w:type="dxa"/>
            <w:gridSpan w:val="3"/>
            <w:tcBorders/>
          </w:tcPr>
          <w:p>
            <w:pPr>
              <w:pStyle w:val="TableContents"/>
              <w:bidi w:val="0"/>
              <w:spacing w:before="0" w:after="283"/>
              <w:jc w:val="left"/>
              <w:rPr>
                <w:b/>
              </w:rPr>
            </w:pPr>
            <w:r>
              <w:rPr>
                <w:b/>
              </w:rPr>
              <w:t>PERCEPTIVE CREDIT HOLDINGS V, LP</w:t>
            </w:r>
          </w:p>
        </w:tc>
      </w:tr>
      <w:tr>
        <w:trPr>
          <w:trHeight w:val="195" w:hRule="atLeast"/>
        </w:trPr>
        <w:tc>
          <w:tcPr>
            <w:tcW w:w="4436" w:type="dxa"/>
            <w:tcBorders/>
            <w:vAlign w:val="center"/>
          </w:tcPr>
          <w:p>
            <w:pPr>
              <w:pStyle w:val="TableContents"/>
              <w:bidi w:val="0"/>
              <w:spacing w:before="0" w:after="283"/>
              <w:jc w:val="left"/>
              <w:rPr>
                <w:sz w:val="4"/>
                <w:szCs w:val="4"/>
              </w:rPr>
            </w:pPr>
            <w:r>
              <w:rPr>
                <w:sz w:val="4"/>
                <w:szCs w:val="4"/>
              </w:rPr>
            </w:r>
          </w:p>
        </w:tc>
        <w:tc>
          <w:tcPr>
            <w:tcW w:w="1030" w:type="dxa"/>
            <w:gridSpan w:val="2"/>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4241" w:type="dxa"/>
            <w:gridSpan w:val="2"/>
            <w:tcBorders/>
            <w:vAlign w:val="center"/>
          </w:tcPr>
          <w:p>
            <w:pPr>
              <w:pStyle w:val="TableContents"/>
              <w:bidi w:val="0"/>
              <w:spacing w:before="0" w:after="283"/>
              <w:jc w:val="left"/>
              <w:rPr>
                <w:sz w:val="4"/>
                <w:szCs w:val="4"/>
              </w:rPr>
            </w:pPr>
            <w:r>
              <w:rPr>
                <w:sz w:val="4"/>
                <w:szCs w:val="4"/>
              </w:rPr>
            </w:r>
          </w:p>
        </w:tc>
      </w:tr>
      <w:tr>
        <w:trPr/>
        <w:tc>
          <w:tcPr>
            <w:tcW w:w="4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06" w:type="dxa"/>
            <w:tcBorders/>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pPr>
            <w:r>
              <w:rPr/>
              <w:t>By:</w:t>
            </w:r>
          </w:p>
        </w:tc>
        <w:tc>
          <w:tcPr>
            <w:tcW w:w="124" w:type="dxa"/>
            <w:tcBorders/>
            <w:vAlign w:val="bottom"/>
          </w:tcPr>
          <w:p>
            <w:pPr>
              <w:pStyle w:val="TableContents"/>
              <w:bidi w:val="0"/>
              <w:spacing w:before="0" w:after="283"/>
              <w:jc w:val="left"/>
              <w:rPr/>
            </w:pPr>
            <w:r>
              <w:rPr/>
              <w:t>  </w:t>
            </w:r>
          </w:p>
        </w:tc>
        <w:tc>
          <w:tcPr>
            <w:tcW w:w="41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Sandeep Dixit</w:t>
            </w:r>
          </w:p>
        </w:tc>
      </w:tr>
      <w:tr>
        <w:trPr/>
        <w:tc>
          <w:tcPr>
            <w:tcW w:w="4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0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117" w:type="dxa"/>
            <w:tcBorders/>
          </w:tcPr>
          <w:p>
            <w:pPr>
              <w:pStyle w:val="TableContents"/>
              <w:bidi w:val="0"/>
              <w:spacing w:before="0" w:after="283"/>
              <w:jc w:val="left"/>
              <w:rPr/>
            </w:pPr>
            <w:r>
              <w:rPr/>
              <w:t>Name: Sandeep Dixit</w:t>
            </w:r>
          </w:p>
        </w:tc>
      </w:tr>
      <w:tr>
        <w:trPr/>
        <w:tc>
          <w:tcPr>
            <w:tcW w:w="443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06"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117" w:type="dxa"/>
            <w:tcBorders/>
          </w:tcPr>
          <w:p>
            <w:pPr>
              <w:pStyle w:val="TableContents"/>
              <w:bidi w:val="0"/>
              <w:spacing w:before="0" w:after="283"/>
              <w:jc w:val="left"/>
              <w:rPr/>
            </w:pPr>
            <w:r>
              <w:rPr/>
              <w:t>Title: Chief Credit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8"/>
        <w:gridCol w:w="109"/>
        <w:gridCol w:w="4603"/>
        <w:gridCol w:w="109"/>
        <w:gridCol w:w="4546"/>
      </w:tblGrid>
      <w:tr>
        <w:trPr/>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0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Contact Information:</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r>
        <w:trPr>
          <w:trHeight w:val="240" w:hRule="atLeast"/>
        </w:trPr>
        <w:tc>
          <w:tcPr>
            <w:tcW w:w="838" w:type="dxa"/>
            <w:tcBorders/>
            <w:vAlign w:val="center"/>
          </w:tcPr>
          <w:p>
            <w:pPr>
              <w:pStyle w:val="TableContents"/>
              <w:bidi w:val="0"/>
              <w:spacing w:before="0" w:after="283"/>
              <w:jc w:val="left"/>
              <w:rPr>
                <w:sz w:val="4"/>
                <w:szCs w:val="4"/>
              </w:rPr>
            </w:pPr>
            <w:r>
              <w:rPr>
                <w:sz w:val="4"/>
                <w:szCs w:val="4"/>
              </w:rPr>
            </w:r>
          </w:p>
        </w:tc>
        <w:tc>
          <w:tcPr>
            <w:tcW w:w="4712"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283"/>
              <w:jc w:val="left"/>
              <w:rPr/>
            </w:pPr>
            <w:r>
              <w:rPr/>
              <w:t>Address:</w:t>
            </w:r>
          </w:p>
        </w:tc>
        <w:tc>
          <w:tcPr>
            <w:tcW w:w="109"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0"/>
              <w:jc w:val="left"/>
              <w:rPr>
                <w:rFonts w:ascii="Times New Roman" w:hAnsi="Times New Roman"/>
                <w:sz w:val="20"/>
              </w:rPr>
            </w:pPr>
            <w:r>
              <w:rPr>
                <w:rFonts w:ascii="Times New Roman" w:hAnsi="Times New Roman"/>
                <w:sz w:val="20"/>
              </w:rPr>
              <w:t>Perceptive Credit Holdings V, LP</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c/o Perceptive Advisors LLC</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r>
        <w:trPr>
          <w:trHeight w:val="195" w:hRule="atLeast"/>
        </w:trPr>
        <w:tc>
          <w:tcPr>
            <w:tcW w:w="5550" w:type="dxa"/>
            <w:gridSpan w:val="3"/>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5550" w:type="dxa"/>
            <w:gridSpan w:val="3"/>
            <w:tcBorders>
              <w:bottom w:val="single" w:sz="2" w:space="0" w:color="000000"/>
            </w:tcBorders>
            <w:tcMar>
              <w:bottom w:w="28" w:type="dxa"/>
            </w:tcMar>
          </w:tcPr>
          <w:p>
            <w:pPr>
              <w:pStyle w:val="TableContents"/>
              <w:bidi w:val="0"/>
              <w:spacing w:before="0" w:after="283"/>
              <w:jc w:val="left"/>
              <w:rPr/>
            </w:pPr>
            <w:r>
              <w:rPr/>
              <w:t>51 Astor Place, 10th Floor</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r>
        <w:trPr>
          <w:trHeight w:val="195" w:hRule="atLeast"/>
        </w:trPr>
        <w:tc>
          <w:tcPr>
            <w:tcW w:w="5550" w:type="dxa"/>
            <w:gridSpan w:val="3"/>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5550"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New York, NY 10003</w:t>
            </w:r>
          </w:p>
          <w:p>
            <w:pPr>
              <w:pStyle w:val="TableContents"/>
              <w:bidi w:val="0"/>
              <w:spacing w:before="0" w:after="20"/>
              <w:jc w:val="left"/>
              <w:rPr>
                <w:rFonts w:ascii="Times New Roman" w:hAnsi="Times New Roman"/>
                <w:sz w:val="20"/>
              </w:rPr>
            </w:pPr>
            <w:r>
              <w:rPr>
                <w:rFonts w:ascii="Times New Roman" w:hAnsi="Times New Roman"/>
                <w:sz w:val="20"/>
              </w:rPr>
              <w:t>Attn: Sandeep Dixit</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r>
        <w:trPr>
          <w:trHeight w:val="195" w:hRule="atLeast"/>
        </w:trPr>
        <w:tc>
          <w:tcPr>
            <w:tcW w:w="838" w:type="dxa"/>
            <w:tcBorders/>
            <w:vAlign w:val="center"/>
          </w:tcPr>
          <w:p>
            <w:pPr>
              <w:pStyle w:val="TableContents"/>
              <w:bidi w:val="0"/>
              <w:spacing w:before="0" w:after="283"/>
              <w:jc w:val="left"/>
              <w:rPr>
                <w:sz w:val="4"/>
                <w:szCs w:val="4"/>
              </w:rPr>
            </w:pPr>
            <w:r>
              <w:rPr>
                <w:sz w:val="4"/>
                <w:szCs w:val="4"/>
              </w:rPr>
            </w:r>
          </w:p>
        </w:tc>
        <w:tc>
          <w:tcPr>
            <w:tcW w:w="4712"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0"/>
              <w:jc w:val="left"/>
              <w:rPr>
                <w:rFonts w:ascii="Times New Roman" w:hAnsi="Times New Roman"/>
                <w:sz w:val="20"/>
              </w:rPr>
            </w:pPr>
            <w:r>
              <w:rPr>
                <w:rFonts w:ascii="Times New Roman" w:hAnsi="Times New Roman"/>
                <w:sz w:val="20"/>
              </w:rPr>
              <w:t>Fax:</w:t>
            </w:r>
          </w:p>
        </w:tc>
        <w:tc>
          <w:tcPr>
            <w:tcW w:w="109" w:type="dxa"/>
            <w:tcBorders/>
            <w:vAlign w:val="bottom"/>
          </w:tcPr>
          <w:p>
            <w:pPr>
              <w:pStyle w:val="TableContents"/>
              <w:bidi w:val="0"/>
              <w:spacing w:before="0" w:after="283"/>
              <w:jc w:val="left"/>
              <w:rPr/>
            </w:pPr>
            <w:r>
              <w:rPr/>
              <w:t> </w:t>
            </w:r>
          </w:p>
        </w:tc>
        <w:tc>
          <w:tcPr>
            <w:tcW w:w="46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N/A</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r>
        <w:trPr>
          <w:trHeight w:val="195" w:hRule="atLeast"/>
        </w:trPr>
        <w:tc>
          <w:tcPr>
            <w:tcW w:w="838" w:type="dxa"/>
            <w:tcBorders/>
            <w:vAlign w:val="center"/>
          </w:tcPr>
          <w:p>
            <w:pPr>
              <w:pStyle w:val="TableContents"/>
              <w:bidi w:val="0"/>
              <w:spacing w:before="0" w:after="283"/>
              <w:jc w:val="left"/>
              <w:rPr>
                <w:sz w:val="4"/>
                <w:szCs w:val="4"/>
              </w:rPr>
            </w:pPr>
            <w:r>
              <w:rPr>
                <w:sz w:val="4"/>
                <w:szCs w:val="4"/>
              </w:rPr>
            </w:r>
          </w:p>
        </w:tc>
        <w:tc>
          <w:tcPr>
            <w:tcW w:w="4712" w:type="dxa"/>
            <w:gridSpan w:val="2"/>
            <w:tcBorders/>
            <w:vAlign w:val="center"/>
          </w:tcPr>
          <w:p>
            <w:pPr>
              <w:pStyle w:val="TableContents"/>
              <w:bidi w:val="0"/>
              <w:spacing w:before="0" w:after="283"/>
              <w:jc w:val="left"/>
              <w:rPr>
                <w:sz w:val="4"/>
                <w:szCs w:val="4"/>
              </w:rPr>
            </w:pPr>
            <w:r>
              <w:rPr>
                <w:sz w:val="4"/>
                <w:szCs w:val="4"/>
              </w:rPr>
            </w:r>
          </w:p>
        </w:tc>
        <w:tc>
          <w:tcPr>
            <w:tcW w:w="4655"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c>
          <w:tcPr>
            <w:tcW w:w="109"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left"/>
              <w:rPr/>
            </w:pPr>
            <w:r>
              <w:rPr/>
              <w:t> </w:t>
            </w:r>
          </w:p>
        </w:tc>
        <w:tc>
          <w:tcPr>
            <w:tcW w:w="454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Registration Rights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Selling Securityholder Questionnaire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of ordinary shares, including in the form of American Depositary Shares (the “</w:t>
      </w:r>
      <w:r>
        <w:rPr>
          <w:rFonts w:ascii="Times New Roman" w:hAnsi="Times New Roman"/>
          <w:b/>
          <w:i/>
          <w:sz w:val="20"/>
        </w:rPr>
        <w:t>Registrable Securities</w:t>
      </w:r>
      <w:r>
        <w:rPr>
          <w:rFonts w:ascii="Times New Roman" w:hAnsi="Times New Roman"/>
          <w:sz w:val="20"/>
        </w:rPr>
        <w:t>”), nominal value $0.000042 per share of Autolus Therapeutics plc, a public limited company incorporated under the laws of England and Wales (the “</w:t>
      </w:r>
      <w:r>
        <w:rPr>
          <w:rFonts w:ascii="Times New Roman" w:hAnsi="Times New Roman"/>
          <w:b/>
          <w:i/>
          <w:sz w:val="20"/>
        </w:rPr>
        <w:t>Company</w:t>
      </w:r>
      <w:r>
        <w:rPr>
          <w:rFonts w:ascii="Times New Roman" w:hAnsi="Times New Roman"/>
          <w:sz w:val="20"/>
        </w:rPr>
        <w:t>”), understands that the Company has filed or intends to file with the Securities and Exchange Commission (the “</w:t>
      </w:r>
      <w:r>
        <w:rPr>
          <w:rFonts w:ascii="Times New Roman" w:hAnsi="Times New Roman"/>
          <w:b/>
          <w:i/>
          <w:sz w:val="20"/>
        </w:rPr>
        <w:t>Commission</w:t>
      </w:r>
      <w:r>
        <w:rPr>
          <w:rFonts w:ascii="Times New Roman" w:hAnsi="Times New Roman"/>
          <w:sz w:val="20"/>
        </w:rPr>
        <w:t>”) a registration statement (the “</w:t>
      </w:r>
      <w:r>
        <w:rPr>
          <w:rFonts w:ascii="Times New Roman" w:hAnsi="Times New Roman"/>
          <w:b/>
          <w:i/>
          <w:sz w:val="20"/>
        </w:rPr>
        <w:t>Registration Statement</w:t>
      </w:r>
      <w:r>
        <w:rPr>
          <w:rFonts w:ascii="Times New Roman" w:hAnsi="Times New Roman"/>
          <w:sz w:val="20"/>
        </w:rPr>
        <w:t>”) for the registration and resale under Rule 415 of the Securities Act of 1933, as amended, of the Registrable Securities, in accordance with the terms of the Registration Rights Agreement (the “</w:t>
      </w:r>
      <w:r>
        <w:rPr>
          <w:rFonts w:ascii="Times New Roman" w:hAnsi="Times New Roman"/>
          <w:b/>
          <w:i/>
          <w:sz w:val="20"/>
        </w:rPr>
        <w:t>Registration Rights Agreement</w:t>
      </w:r>
      <w:r>
        <w:rPr>
          <w:rFonts w:ascii="Times New Roman" w:hAnsi="Times New Roman"/>
          <w:sz w:val="20"/>
        </w:rPr>
        <w:t xml:space="preserve">”)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Certain legal consequences arise from being named as a selling securityholder in the Registration Statement and the related prospectus. Accordingly, holders and beneficial owners of Registrable Securities are advised to consult their own securities law counsel regarding the consequences of being named or not being named as a selling securityholder in the Registration Statement and the related 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The undersigned beneficial owner (the “</w:t>
      </w:r>
      <w:r>
        <w:rPr>
          <w:rFonts w:ascii="Times New Roman" w:hAnsi="Times New Roman"/>
          <w:b/>
          <w:i/>
          <w:sz w:val="20"/>
        </w:rPr>
        <w:t>Selling Securityholder</w:t>
      </w:r>
      <w:r>
        <w:rPr>
          <w:rFonts w:ascii="Times New Roman" w:hAnsi="Times New Roman"/>
          <w:sz w:val="20"/>
        </w:rPr>
        <w:t xml:space="preserve">”) of Registrable Securities hereby elects to include the Registrable Securities owned by it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provides the following information to the Company and represents and warrants that such information is accurate: </w:t>
      </w:r>
    </w:p>
    <w:p>
      <w:pPr>
        <w:pStyle w:val="TextBody"/>
        <w:bidi w:val="0"/>
        <w:spacing w:before="480" w:after="0"/>
        <w:jc w:val="center"/>
        <w:rPr>
          <w:rFonts w:ascii="Times New Roman" w:hAnsi="Times New Roman"/>
          <w:b/>
          <w:sz w:val="20"/>
        </w:rPr>
      </w:pPr>
      <w:r>
        <w:rPr>
          <w:rFonts w:ascii="Times New Roman" w:hAnsi="Times New Roman"/>
          <w:b/>
          <w:sz w:val="20"/>
        </w:rPr>
        <w:t xml:space="preserve">QUESTIONNAIRE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Registered Holder (if not the same as (a) above) through which Registrable Securities are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Legal Name of Natural Control Person (which means a natural person who directly or indirectly alone or with others has power to vote or dispose of the securities covered by this Questionnaire):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Footnote for Selling Securityholders table in Registration Statement (leave blank if you would like Company counsel to draft based on the above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for Notices to Selling Securityholder: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Telephone: </w:t>
      </w:r>
    </w:p>
    <w:p>
      <w:pPr>
        <w:pStyle w:val="TextBody"/>
        <w:bidi w:val="0"/>
        <w:spacing w:before="0" w:after="0"/>
        <w:jc w:val="left"/>
        <w:rPr>
          <w:rFonts w:ascii="Times New Roman" w:hAnsi="Times New Roman"/>
          <w:sz w:val="20"/>
        </w:rPr>
      </w:pPr>
      <w:r>
        <w:rPr>
          <w:rFonts w:ascii="Times New Roman" w:hAnsi="Times New Roman"/>
          <w:sz w:val="20"/>
        </w:rPr>
        <w:t xml:space="preserve">Fax: </w:t>
      </w:r>
    </w:p>
    <w:p>
      <w:pPr>
        <w:pStyle w:val="TextBody"/>
        <w:bidi w:val="0"/>
        <w:spacing w:before="0" w:after="0"/>
        <w:jc w:val="left"/>
        <w:rPr>
          <w:rFonts w:ascii="Times New Roman" w:hAnsi="Times New Roman"/>
          <w:sz w:val="20"/>
        </w:rPr>
      </w:pPr>
      <w:r>
        <w:rPr>
          <w:rFonts w:ascii="Times New Roman" w:hAnsi="Times New Roman"/>
          <w:sz w:val="20"/>
        </w:rPr>
        <w:t xml:space="preserve">Contact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Broker-Dealer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 broker-dealer?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“yes” to Section 3(a), did you receive your Registrable Securities as compensation for investment banking services to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3(b),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you an affiliate of a broker-dealer?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  No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Note: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to Section 3(d), the Commission’s staff has indicated that you should be identified as an underwriter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Ownership of Securities of the Company Owned by the Selling Securityholder.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Except as set forth below in this Item 4, the undersigned is not the beneficial or registered owner of any securities of the Company other than the securities issuable pursuant to the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and amount of other securities beneficially owned by the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Relationships with the Company: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 any exceptions here: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agrees to promptly notify the Company of any material inaccuracies or changes in the information provided herein that may occur subsequent to the date hereof at any time while the Registration Statement remains effective; </w:t>
      </w:r>
      <w:r>
        <w:rPr>
          <w:rFonts w:ascii="Times New Roman" w:hAnsi="Times New Roman"/>
          <w:i/>
          <w:sz w:val="20"/>
        </w:rPr>
        <w:t>provided</w:t>
      </w:r>
      <w:r>
        <w:rPr>
          <w:rFonts w:ascii="Times New Roman" w:hAnsi="Times New Roman"/>
          <w:sz w:val="20"/>
        </w:rPr>
        <w:t xml:space="preserve">, that the undersigned shall not be required to notify the Company of any changes to the number of securities held or owned by the undersigned or its affiliates. In the absence of any such notification, the Company shall be entitled to continue to rely on the accuracy of the information herein. </w:t>
      </w:r>
    </w:p>
    <w:p>
      <w:pPr>
        <w:pStyle w:val="TextBody"/>
        <w:bidi w:val="0"/>
        <w:spacing w:before="240" w:after="0"/>
        <w:jc w:val="left"/>
        <w:rPr>
          <w:rFonts w:ascii="Times New Roman" w:hAnsi="Times New Roman"/>
          <w:sz w:val="20"/>
        </w:rPr>
      </w:pPr>
      <w:r>
        <w:rPr>
          <w:rFonts w:ascii="Times New Roman" w:hAnsi="Times New Roman"/>
          <w:sz w:val="20"/>
        </w:rPr>
        <w:t xml:space="preserve">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by authority duly given, has caused this Notice and Questionnaire to be executed and delivered either in person or by its duly authorized agent.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26"/>
        <w:gridCol w:w="109"/>
        <w:gridCol w:w="1531"/>
        <w:gridCol w:w="120"/>
        <w:gridCol w:w="4119"/>
      </w:tblGrid>
      <w:tr>
        <w:trPr/>
        <w:tc>
          <w:tcPr>
            <w:tcW w:w="432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19"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41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Beneficial Owner:</w:t>
            </w:r>
          </w:p>
        </w:tc>
      </w:tr>
      <w:tr>
        <w:trPr>
          <w:trHeight w:val="195" w:hRule="atLeast"/>
        </w:trPr>
        <w:tc>
          <w:tcPr>
            <w:tcW w:w="4326" w:type="dxa"/>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32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326"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b/>
          <w:sz w:val="20"/>
        </w:rPr>
        <w:t>PLEASE MAIL OR EMAIL A .PDF COPY OF THE COMPLETED AND EXECUTED NOTICE AND QUESTIONNAIRE 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Autolus Therapeutics plc </w:t>
      </w:r>
    </w:p>
    <w:p>
      <w:pPr>
        <w:pStyle w:val="TextBody"/>
        <w:bidi w:val="0"/>
        <w:spacing w:before="12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The Mediaworks, 191 Wood Lane </w:t>
      </w:r>
    </w:p>
    <w:p>
      <w:pPr>
        <w:pStyle w:val="TextBody"/>
        <w:bidi w:val="0"/>
        <w:spacing w:before="0" w:after="0"/>
        <w:jc w:val="left"/>
        <w:rPr>
          <w:rFonts w:ascii="Times New Roman" w:hAnsi="Times New Roman"/>
          <w:sz w:val="20"/>
        </w:rPr>
      </w:pPr>
      <w:r>
        <w:rPr>
          <w:rFonts w:ascii="Times New Roman" w:hAnsi="Times New Roman"/>
          <w:sz w:val="20"/>
        </w:rPr>
        <w:t xml:space="preserve">London, W12 7FP, United Kingdom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which, as used herein, includes donees, pledgees, transferees, distributees, or other successors-in-interest selling our ADSs and our ordinary shares represented thereby or, collectively, the securities, or interests in securities received after the date of this prospectus from the selling securityholders as a gift, pledge, distribution, or other transfer, may, from time to time, sell, transfer, distribute, or otherwise dispose of certain of their securities on any stock exchange, market, or trading facility on which securities are traded or in private transactions. These dispositions may be at fixed prices, at prevailing market prices at the time of sale, at prices related to the prevailing market prices,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its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its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and the settlement of short sales entered into, after the date of the registration statement of which this prospectus forms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who may agree with the selling securityholders to sell a specified number of such securities at a stipulated price per ADS or ordinary share;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securities owned by them and, if the selling securityholders default in the performance of their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securities short and deliver these securities to close out their short positions, or loan or pledge securities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securityholders from the sale of securities offered by them will be the purchase price of such securities, less discounts or commissions, if any. The selling securityholders reserve the right to accept and, together with their agents from time to time, to reject, in whole or in part, any proposed purchase of securities to be made directly or through agents. We will not receive any of the proceeds from any offering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also may in the future resell a portion of the securities in open-market transactions in reliance upon Rule 144 under the Securities Act (provided that they meet the criteria and conform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securities or interests therein may be “underwriters” within the meaning of Section 2(11) of the Securities Act. Any discounts, commissions, concessions, or profit they earn on any resale of such securities may be underwriting discounts and commissions under the Securities Act. If the selling securityholders are “underwriters” within the meaning of Section 2(11) of the Securities Act, then the selling securityholders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number of securities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offered by the selling securityholders, certain persons participating in the offering may engage in transactions that stabilize, maintain, or otherwise affect the price of the securities. This may include over-allotments or short sales,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by and between the Company and the selling securityholders, dated as of July 30, 2026, or the Registration Rights Agreement, we have agreed to indemnify the selling securityholders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selling securityholders may use this prospectus in connection with resales of securities. This prospectus and any accompanying prospectus supplement will identify the selling securityholders, the terms of the securities, and any material relationships between us and the selling securityholders. The selling securityholders may be deemed to be underwriters under the Securities Act in connection with securities they resell, and any profits on the sales may be deemed to be underwriting discounts and commissions under the Securities Act. Unless otherwise set forth in a prospectus supplement, the selling securityholders will receive all the net proceeds from the resale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elect to make an in-kind distribution of securities to their members, partners, or shareholders pursuant to the registration statement of which this prospectus forms a part by delivering a prospectus. To the extent that such members, partners, or shareholders are not affiliates of ours, such members, partners, or shareholders would thereby receive freely tradable securities pursuant to the distribution through a registration statement.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202</Pages>
  <Words>97858</Words>
  <Characters>523197</Characters>
  <CharactersWithSpaces>621686</CharactersWithSpaces>
  <Paragraphs>3777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