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2040ds3.htm"/>
        <w:bookmarkStart w:id="1" w:name="ksd112040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11,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0"/>
        </w:rPr>
      </w:pPr>
      <w:r>
        <w:rPr>
          <w:rFonts w:ascii="Times New Roman" w:hAnsi="Times New Roman"/>
          <w:b/>
          <w:sz w:val="30"/>
        </w:rPr>
        <w:t xml:space="preserve">Form S-3 </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4"/>
        </w:rPr>
      </w:pPr>
      <w:r>
        <w:rPr>
          <w:rFonts w:ascii="Times New Roman" w:hAnsi="Times New Roman"/>
          <w:b/>
          <w:sz w:val="44"/>
        </w:rPr>
        <w:t xml:space="preserve">Autolus Therapeutics plc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Not Applicable </w:t>
      </w:r>
    </w:p>
    <w:p>
      <w:pPr>
        <w:pStyle w:val="TextBody"/>
        <w:bidi w:val="0"/>
        <w:spacing w:before="0" w:after="0"/>
        <w:jc w:val="center"/>
        <w:rPr>
          <w:rFonts w:ascii="Times New Roman" w:hAnsi="Times New Roman"/>
          <w:b/>
          <w:sz w:val="14"/>
        </w:rPr>
      </w:pPr>
      <w:r>
        <w:rPr>
          <w:rFonts w:ascii="Times New Roman" w:hAnsi="Times New Roman"/>
          <w:b/>
          <w:sz w:val="14"/>
        </w:rPr>
        <w:t xml:space="preserve">(Translation of registrant’s name into English)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England and Wales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Not Applicable</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100" w:after="0"/>
        <w:jc w:val="center"/>
        <w:rPr>
          <w:rFonts w:ascii="Times New Roman" w:hAnsi="Times New Roman"/>
          <w:b/>
          <w:sz w:val="16"/>
        </w:rPr>
      </w:pPr>
      <w:r>
        <w:rPr>
          <w:rFonts w:ascii="Times New Roman" w:hAnsi="Times New Roman"/>
          <w:b/>
          <w:sz w:val="16"/>
        </w:rPr>
        <w:t xml:space="preserve">The MediaWorks </w:t>
      </w:r>
    </w:p>
    <w:p>
      <w:pPr>
        <w:pStyle w:val="TextBody"/>
        <w:bidi w:val="0"/>
        <w:spacing w:before="0" w:after="0"/>
        <w:jc w:val="center"/>
        <w:rPr>
          <w:rFonts w:ascii="Times New Roman" w:hAnsi="Times New Roman"/>
          <w:b/>
          <w:sz w:val="16"/>
        </w:rPr>
      </w:pPr>
      <w:r>
        <w:rPr>
          <w:rFonts w:ascii="Times New Roman" w:hAnsi="Times New Roman"/>
          <w:b/>
          <w:sz w:val="16"/>
        </w:rPr>
        <w:t xml:space="preserve">191 Wood Lane </w:t>
      </w:r>
    </w:p>
    <w:p>
      <w:pPr>
        <w:pStyle w:val="TextBody"/>
        <w:bidi w:val="0"/>
        <w:spacing w:before="0" w:after="0"/>
        <w:jc w:val="center"/>
        <w:rPr>
          <w:rFonts w:ascii="Times New Roman" w:hAnsi="Times New Roman"/>
          <w:b/>
          <w:sz w:val="16"/>
        </w:rPr>
      </w:pPr>
      <w:r>
        <w:rPr>
          <w:rFonts w:ascii="Times New Roman" w:hAnsi="Times New Roman"/>
          <w:b/>
          <w:sz w:val="16"/>
        </w:rPr>
        <w:t xml:space="preserve">White City </w:t>
      </w:r>
    </w:p>
    <w:p>
      <w:pPr>
        <w:pStyle w:val="TextBody"/>
        <w:bidi w:val="0"/>
        <w:spacing w:before="0" w:after="0"/>
        <w:jc w:val="center"/>
        <w:rPr>
          <w:rFonts w:ascii="Times New Roman" w:hAnsi="Times New Roman"/>
          <w:b/>
          <w:sz w:val="16"/>
        </w:rPr>
      </w:pPr>
      <w:r>
        <w:rPr>
          <w:rFonts w:ascii="Times New Roman" w:hAnsi="Times New Roman"/>
          <w:b/>
          <w:sz w:val="16"/>
        </w:rPr>
        <w:t xml:space="preserve">London W12 7FP </w:t>
      </w:r>
    </w:p>
    <w:p>
      <w:pPr>
        <w:pStyle w:val="TextBody"/>
        <w:bidi w:val="0"/>
        <w:spacing w:before="0" w:after="0"/>
        <w:jc w:val="center"/>
        <w:rPr>
          <w:rFonts w:ascii="Times New Roman" w:hAnsi="Times New Roman"/>
          <w:b/>
          <w:sz w:val="16"/>
        </w:rPr>
      </w:pPr>
      <w:r>
        <w:rPr>
          <w:rFonts w:ascii="Times New Roman" w:hAnsi="Times New Roman"/>
          <w:b/>
          <w:sz w:val="16"/>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Tel: +44 20 3829 6230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Autolus Inc. </w:t>
      </w:r>
    </w:p>
    <w:p>
      <w:pPr>
        <w:pStyle w:val="TextBody"/>
        <w:bidi w:val="0"/>
        <w:spacing w:before="0" w:after="0"/>
        <w:jc w:val="center"/>
        <w:rPr>
          <w:rFonts w:ascii="Times New Roman" w:hAnsi="Times New Roman"/>
          <w:b/>
          <w:sz w:val="16"/>
        </w:rPr>
      </w:pPr>
      <w:r>
        <w:rPr>
          <w:rFonts w:ascii="Times New Roman" w:hAnsi="Times New Roman"/>
          <w:b/>
          <w:sz w:val="16"/>
        </w:rPr>
        <w:t xml:space="preserve">15810 Gaither Drive </w:t>
      </w:r>
    </w:p>
    <w:p>
      <w:pPr>
        <w:pStyle w:val="TextBody"/>
        <w:bidi w:val="0"/>
        <w:spacing w:before="0" w:after="0"/>
        <w:jc w:val="center"/>
        <w:rPr>
          <w:rFonts w:ascii="Times New Roman" w:hAnsi="Times New Roman"/>
          <w:b/>
          <w:sz w:val="16"/>
        </w:rPr>
      </w:pPr>
      <w:r>
        <w:rPr>
          <w:rFonts w:ascii="Times New Roman" w:hAnsi="Times New Roman"/>
          <w:b/>
          <w:sz w:val="16"/>
        </w:rPr>
        <w:t xml:space="preserve">Gaithersburg, Maryland 20877 </w:t>
      </w:r>
    </w:p>
    <w:p>
      <w:pPr>
        <w:pStyle w:val="TextBody"/>
        <w:bidi w:val="0"/>
        <w:spacing w:before="0" w:after="0"/>
        <w:jc w:val="center"/>
        <w:rPr>
          <w:rFonts w:ascii="Times New Roman" w:hAnsi="Times New Roman"/>
          <w:b/>
          <w:sz w:val="16"/>
        </w:rPr>
      </w:pPr>
      <w:r>
        <w:rPr>
          <w:rFonts w:ascii="Times New Roman" w:hAnsi="Times New Roman"/>
          <w:b/>
          <w:sz w:val="16"/>
        </w:rPr>
        <w:t xml:space="preserve">Tel: +1 240 801 3830 </w:t>
      </w:r>
    </w:p>
    <w:p>
      <w:pPr>
        <w:pStyle w:val="TextBody"/>
        <w:bidi w:val="0"/>
        <w:spacing w:before="0" w:after="0"/>
        <w:jc w:val="center"/>
        <w:rPr>
          <w:rFonts w:ascii="Times New Roman" w:hAnsi="Times New Roman"/>
          <w:b/>
          <w:sz w:val="16"/>
        </w:rPr>
      </w:pPr>
      <w:r>
        <w:rPr>
          <w:rFonts w:ascii="Times New Roman" w:hAnsi="Times New Roman"/>
          <w:b/>
          <w:sz w:val="16"/>
        </w:rPr>
        <w:t xml:space="preserve">United States of America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of all communications, including communications sent to agent for service, should be sent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Christian E. Plaza</w:t>
            </w:r>
          </w:p>
          <w:p>
            <w:pPr>
              <w:pStyle w:val="TableContents"/>
              <w:bidi w:val="0"/>
              <w:spacing w:before="0" w:after="0"/>
              <w:jc w:val="center"/>
              <w:rPr>
                <w:rFonts w:ascii="Times New Roman" w:hAnsi="Times New Roman"/>
                <w:b/>
                <w:sz w:val="16"/>
              </w:rPr>
            </w:pPr>
            <w:r>
              <w:rPr>
                <w:rFonts w:ascii="Times New Roman" w:hAnsi="Times New Roman"/>
                <w:b/>
                <w:sz w:val="16"/>
              </w:rPr>
              <w:t>Courtney T. Thorne</w:t>
            </w:r>
          </w:p>
          <w:p>
            <w:pPr>
              <w:pStyle w:val="TableContents"/>
              <w:bidi w:val="0"/>
              <w:spacing w:before="0" w:after="0"/>
              <w:jc w:val="center"/>
              <w:rPr>
                <w:rFonts w:ascii="Times New Roman" w:hAnsi="Times New Roman"/>
                <w:b/>
                <w:sz w:val="16"/>
              </w:rPr>
            </w:pPr>
            <w:r>
              <w:rPr>
                <w:rFonts w:ascii="Times New Roman" w:hAnsi="Times New Roman"/>
                <w:b/>
                <w:sz w:val="16"/>
              </w:rPr>
              <w:t>William DuVal</w:t>
            </w:r>
          </w:p>
          <w:p>
            <w:pPr>
              <w:pStyle w:val="TableContents"/>
              <w:bidi w:val="0"/>
              <w:spacing w:before="0" w:after="0"/>
              <w:jc w:val="center"/>
              <w:rPr>
                <w:rFonts w:ascii="Times New Roman" w:hAnsi="Times New Roman"/>
                <w:b/>
                <w:sz w:val="16"/>
              </w:rPr>
            </w:pPr>
            <w:r>
              <w:rPr>
                <w:rFonts w:ascii="Times New Roman" w:hAnsi="Times New Roman"/>
                <w:b/>
                <w:sz w:val="16"/>
              </w:rPr>
              <w:t>Cooley LLP</w:t>
            </w:r>
          </w:p>
          <w:p>
            <w:pPr>
              <w:pStyle w:val="TableContents"/>
              <w:bidi w:val="0"/>
              <w:spacing w:before="0" w:after="0"/>
              <w:jc w:val="center"/>
              <w:rPr>
                <w:rFonts w:ascii="Times New Roman" w:hAnsi="Times New Roman"/>
                <w:b/>
                <w:sz w:val="16"/>
              </w:rPr>
            </w:pPr>
            <w:r>
              <w:rPr>
                <w:rFonts w:ascii="Times New Roman" w:hAnsi="Times New Roman"/>
                <w:b/>
                <w:sz w:val="16"/>
              </w:rPr>
              <w:t>One Freedom Square, Reston Town Center</w:t>
            </w:r>
          </w:p>
          <w:p>
            <w:pPr>
              <w:pStyle w:val="TableContents"/>
              <w:bidi w:val="0"/>
              <w:spacing w:before="0" w:after="0"/>
              <w:jc w:val="center"/>
              <w:rPr>
                <w:rFonts w:ascii="Times New Roman" w:hAnsi="Times New Roman"/>
                <w:b/>
                <w:sz w:val="16"/>
              </w:rPr>
            </w:pPr>
            <w:r>
              <w:rPr>
                <w:rFonts w:ascii="Times New Roman" w:hAnsi="Times New Roman"/>
                <w:b/>
                <w:sz w:val="16"/>
              </w:rPr>
              <w:t>Reston, Virginia 20190-5640</w:t>
            </w:r>
          </w:p>
          <w:p>
            <w:pPr>
              <w:pStyle w:val="TableContents"/>
              <w:bidi w:val="0"/>
              <w:spacing w:before="0" w:after="20"/>
              <w:jc w:val="center"/>
              <w:rPr>
                <w:rFonts w:ascii="Times New Roman" w:hAnsi="Times New Roman"/>
                <w:b/>
                <w:sz w:val="16"/>
              </w:rPr>
            </w:pPr>
            <w:r>
              <w:rPr>
                <w:rFonts w:ascii="Times New Roman" w:hAnsi="Times New Roman"/>
                <w:b/>
                <w:sz w:val="16"/>
              </w:rPr>
              <w:t>+1 703 456 8000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Claire Keast-Butler</w:t>
            </w:r>
          </w:p>
          <w:p>
            <w:pPr>
              <w:pStyle w:val="TableContents"/>
              <w:bidi w:val="0"/>
              <w:spacing w:before="0" w:after="0"/>
              <w:jc w:val="center"/>
              <w:rPr>
                <w:rFonts w:ascii="Times New Roman" w:hAnsi="Times New Roman"/>
                <w:b/>
                <w:sz w:val="16"/>
              </w:rPr>
            </w:pPr>
            <w:r>
              <w:rPr>
                <w:rFonts w:ascii="Times New Roman" w:hAnsi="Times New Roman"/>
                <w:b/>
                <w:sz w:val="16"/>
              </w:rPr>
              <w:t>Cooley (UK) LLP</w:t>
            </w:r>
          </w:p>
          <w:p>
            <w:pPr>
              <w:pStyle w:val="TableContents"/>
              <w:bidi w:val="0"/>
              <w:spacing w:before="0" w:after="0"/>
              <w:jc w:val="center"/>
              <w:rPr>
                <w:rFonts w:ascii="Times New Roman" w:hAnsi="Times New Roman"/>
                <w:b/>
                <w:sz w:val="16"/>
              </w:rPr>
            </w:pPr>
            <w:r>
              <w:rPr>
                <w:rFonts w:ascii="Times New Roman" w:hAnsi="Times New Roman"/>
                <w:b/>
                <w:sz w:val="16"/>
              </w:rPr>
              <w:t>22 Bishopsgate</w:t>
            </w:r>
          </w:p>
          <w:p>
            <w:pPr>
              <w:pStyle w:val="TableContents"/>
              <w:bidi w:val="0"/>
              <w:spacing w:before="0" w:after="0"/>
              <w:jc w:val="center"/>
              <w:rPr>
                <w:rFonts w:ascii="Times New Roman" w:hAnsi="Times New Roman"/>
                <w:b/>
                <w:sz w:val="16"/>
              </w:rPr>
            </w:pPr>
            <w:r>
              <w:rPr>
                <w:rFonts w:ascii="Times New Roman" w:hAnsi="Times New Roman"/>
                <w:b/>
                <w:sz w:val="16"/>
              </w:rPr>
              <w:t>London EC2N 4BQ</w:t>
            </w:r>
          </w:p>
          <w:p>
            <w:pPr>
              <w:pStyle w:val="TableContents"/>
              <w:bidi w:val="0"/>
              <w:spacing w:before="0" w:after="0"/>
              <w:jc w:val="center"/>
              <w:rPr>
                <w:rFonts w:ascii="Times New Roman" w:hAnsi="Times New Roman"/>
                <w:b/>
                <w:sz w:val="16"/>
              </w:rPr>
            </w:pPr>
            <w:r>
              <w:rPr>
                <w:rFonts w:ascii="Times New Roman" w:hAnsi="Times New Roman"/>
                <w:b/>
                <w:sz w:val="16"/>
              </w:rPr>
              <w:t>United Kingdom</w:t>
            </w:r>
          </w:p>
          <w:p>
            <w:pPr>
              <w:pStyle w:val="TableContents"/>
              <w:bidi w:val="0"/>
              <w:spacing w:before="0" w:after="20"/>
              <w:jc w:val="center"/>
              <w:rPr>
                <w:rFonts w:ascii="Times New Roman" w:hAnsi="Times New Roman"/>
                <w:b/>
                <w:sz w:val="16"/>
              </w:rPr>
            </w:pPr>
            <w:r>
              <w:rPr>
                <w:rFonts w:ascii="Times New Roman" w:hAnsi="Times New Roman"/>
                <w:b/>
                <w:sz w:val="16"/>
              </w:rPr>
              <w:t>+44 20 7583 4055</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APPROXIMATE DATE OF COMMENCEMENT OF PROPOSED SALE TO THE PUBLIC</w:t>
      </w:r>
      <w:r>
        <w:rPr>
          <w:rFonts w:ascii="Times New Roman" w:hAnsi="Times New Roman"/>
          <w:sz w:val="16"/>
        </w:rPr>
        <w:t xml:space="preserve">: From time to time after the effective date of this registration statement. </w:t>
      </w:r>
    </w:p>
    <w:p>
      <w:pPr>
        <w:pStyle w:val="TextBody"/>
        <w:bidi w:val="0"/>
        <w:spacing w:before="12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6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Up to 3,500,000 American Depositary Shares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490345" cy="348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0345" cy="34861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Representing 3,500,000 Ordinary Shares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relates to the resale from time to time by the selling securityholder identified in this prospectus of up to 3,500,000 American Depositary Shares, or ADSs, each representing one ordinary share, with a nominal value of $0.000042 per share, or the ordinary shares, of Autolus Therapeutics plc, issuable upon the exercise of a warrant, or the Warrant, issued to Perceptive Credit Holdings V, LP, or Perceptive, on July 30, 2026, with an exercise price of $1.9314 per ADS. The Warrant has an expiration date of July 30, 2036.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are filing the registration statement of which this prospectus forms a part to fulfill our contractual obligations under the Registration Rights Agreement, dated as of July 30, 2026, or the Registration Rights Agreement, between us and Perceptive, to provide for the registration with the Securities and Exchange Commission, or the SEC, of the resale by the selling securityholder of the ADSs issuable upon exercise of the Warrant. See “Selling Securityholder” beginning on page 15 of this prospectus for more information about the selling securityholder. The registration of the ADSs to which this prospectus relates does not require the selling securityholder to sell any of its ADSs.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The selling securityholder may, from time to time, sell, transfer or otherwise dispose of any or all of the ADSs being registered or interests in the ADSs being registered on any stock exchange, market or trading facility on which our ADSs or ordinary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“Plan of Distribution.” We are not offering any ADSs or ordinary shares under this prospectus and will not receive any of the proceeds from the sale or other disposition of the ADSs or ordinary shares by the selling securityholder. Upon the exercise of the Warrant for cash, we will receive the exercise price of the Warrant. The net proceeds received from the sale or other disposition of our securities by the selling securityholder, if any, is unknown.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the entire prospectus, including the additional information described under the heading “Incorporation of Documents by Reference,” and any amendments or supplements carefully before you make your investment decision. The ADSs are listed on the Nasdaq Global Select Market, or Nasdaq, under the symbol “AUTL.” On September 8, 2026, the closing sale price of the ADSs on Nasdaq was $2.11. </w:t>
      </w:r>
    </w:p>
    <w:p>
      <w:pPr>
        <w:pStyle w:val="TextBody"/>
        <w:bidi w:val="0"/>
        <w:spacing w:before="120" w:after="0"/>
        <w:ind w:left="960" w:right="960" w:hanging="0"/>
        <w:jc w:val="left"/>
        <w:rPr/>
      </w:pPr>
      <w:r>
        <w:rPr>
          <w:rFonts w:ascii="Times New Roman" w:hAnsi="Times New Roman"/>
          <w:b/>
          <w:sz w:val="24"/>
        </w:rPr>
        <w:t>Investing in our securities involves a high degree of risk. Before deciding whether to invest in our securities, you should consider carefully the risks that we have described under the caption “</w:t>
      </w:r>
      <w:r>
        <w:fldChar w:fldCharType="begin"/>
      </w:r>
      <w:r>
        <w:rPr>
          <w:rStyle w:val="InternetLink"/>
          <w:sz w:val="24"/>
          <w:b/>
          <w:rFonts w:ascii="Times New Roman" w:hAnsi="Times New Roman"/>
        </w:rPr>
        <w:instrText xml:space="preserve"> HYPERLINK "http://www.sec.gov/Archives/edgar/data/../../../ix?doc=/Archives/edgar/data/1730463/000173046326000038/autl-20251231.htm" \l "i9fec505e760a4175a97e5f23384892e2_31"</w:instrText>
      </w:r>
      <w:r>
        <w:rPr>
          <w:rStyle w:val="InternetLink"/>
          <w:sz w:val="24"/>
          <w:b/>
          <w:rFonts w:ascii="Times New Roman" w:hAnsi="Times New Roman"/>
        </w:rPr>
        <w:fldChar w:fldCharType="separate"/>
      </w:r>
      <w:r>
        <w:rPr>
          <w:rStyle w:val="InternetLink"/>
          <w:rFonts w:ascii="Times New Roman" w:hAnsi="Times New Roman"/>
          <w:b/>
          <w:sz w:val="24"/>
        </w:rPr>
        <w:t>Risk Factors</w:t>
      </w:r>
      <w:r>
        <w:rPr>
          <w:rStyle w:val="InternetLink"/>
          <w:sz w:val="24"/>
          <w:b/>
          <w:rFonts w:ascii="Times New Roman" w:hAnsi="Times New Roman"/>
        </w:rPr>
        <w:fldChar w:fldCharType="end"/>
      </w:r>
      <w:r>
        <w:rPr>
          <w:rFonts w:ascii="Times New Roman" w:hAnsi="Times New Roman"/>
          <w:b/>
          <w:sz w:val="24"/>
        </w:rPr>
        <w:t>” in our Annual Report on Form 10-K for the fiscal year ended December 31, 2025, which is incorporated by reference into this prospectus. We may also include specific risk factors in supplements to this prospectus under the caption “</w:t>
      </w:r>
      <w:hyperlink w:anchor="tx112040_3">
        <w:r>
          <w:rPr>
            <w:rStyle w:val="InternetLink"/>
            <w:rFonts w:ascii="Times New Roman" w:hAnsi="Times New Roman"/>
            <w:b/>
            <w:sz w:val="24"/>
          </w:rPr>
          <w:t>Risk Factors</w:t>
        </w:r>
      </w:hyperlink>
      <w:r>
        <w:rPr>
          <w:rFonts w:ascii="Times New Roman" w:hAnsi="Times New Roman"/>
          <w:b/>
          <w:sz w:val="24"/>
        </w:rPr>
        <w:t xml:space="preserve">.”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3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6">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7">
              <w:r>
                <w:rPr>
                  <w:rStyle w:val="InternetLink"/>
                  <w:rFonts w:ascii="Times New Roman" w:hAnsi="Times New Roman"/>
                  <w:sz w:val="20"/>
                </w:rPr>
                <w:t>DESCRIPTION OF SHARE CAPITAL AND ARTICLES OF ASSOCIATION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8">
              <w:r>
                <w:rPr>
                  <w:rStyle w:val="InternetLink"/>
                  <w:rFonts w:ascii="Times New Roman" w:hAnsi="Times New Roman"/>
                  <w:sz w:val="20"/>
                </w:rPr>
                <w:t>SELLING SECURITYHOLDER</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9">
              <w:r>
                <w:rPr>
                  <w:rStyle w:val="InternetLink"/>
                  <w:rFonts w:ascii="Times New Roman" w:hAnsi="Times New Roman"/>
                  <w:sz w:val="20"/>
                </w:rPr>
                <w:t>TAXATION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0">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1">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2">
              <w:r>
                <w:rPr>
                  <w:rStyle w:val="InternetLink"/>
                  <w:rFonts w:ascii="Times New Roman" w:hAnsi="Times New Roman"/>
                  <w:sz w:val="20"/>
                </w:rPr>
                <w:t>SERVICE OF PROCESS AND ENFORCEMENT OF LIABILITIES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12040_14">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1204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securityholder have authorized anyone to provide you with additional information or information different from that contained in this prospectus filed with the Securities and Exchange Commission, or SEC in any supplement to this prospectus filed with the SEC, in any free writing prospectus filed with the SEC, or in the documents described under the heading “Incorporation of Documents by Reference.” We and the selling securityholder take no responsibility for, and can provide no assurance as to the reliability of, any other information that others may give you. The selling securityholder is offering to sell, and seeking offers to buy, our ADSs only in jurisdictions where offers and sales are permitted. The information contained in this prospectus is accurate only as of the date of this prospectus, regardless of the time of delivery of this prospectus or any sale of our ADSs.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the selling securityholder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the distribution of this prospectus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be supplemented from time to time by one or more prospectus supplements. Such prospectus supplements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before deciding to invest in any ADSs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this prospectus, “Autolus,” “the company,” “our company,” “we,” “us” and “our” refer to Autolus Therapeutics plc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12040_2"/>
      <w:bookmarkEnd w:id="4"/>
      <w:r>
        <w:rPr>
          <w:rFonts w:ascii="Times New Roman" w:hAnsi="Times New Roman"/>
          <w:b/>
          <w:sz w:val="20"/>
        </w:rPr>
        <w:t xml:space="preserve">PROSPECTUS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highlights selected information contained elsewhere in this prospectus and does not contain all of the information that you need to consider in making your investment decision.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filings with the SEC including our Annual Report on Form 10-K for the year ended December 31, 2025, which is incorporated by reference herein,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commercial-stage biopharmaceutical company developing, manufacturing and delivering next-generation T cell therapies and candidates for the treatment of cancer and autoimmune diseases. Using our broad suite of proprietary and modular T cell programming technologies, we are engineering precisely targeted and controlled T cell therapies that are designed to better recognize target cells, break down their defense mechanisms and eliminate target cells. We believe our programmed T cell therapies have the potential to be best-in-class and offer patients substantial benefits over the existing standard of care, including the potential for cure in some patients. In November 2024, the United States Food and Drug Administration, or the FDA, approved our biologics license application, or BLA, for the marketing of AUCATZYL (obecabtagene autoleucel, also known as obe-cel) in the United States for the treatment of adult patients (18 years and older) with relapsed or refractory B-cell precursor acute lymphoblastic leukemia, or r/r B-ALL. The commercial launch and first sale of AUCATZYL in the United States occurred in January 2025. The United Kingdom Medicines and Healthcare products Regulatory Agency granted AUCATZYL conditional marketing authorization in April 2025. In November 2025, the National Institute for Health and Care Excellence recommended AUCATZYL for use in the National Health Service, or NHS, in England and Wales as a treatment option for adult patients (age 26 and older) with r/r B-ALL. We launched AUCATZYL in the United Kingdom in January 2026 and it is available through routine commissioning by the NHS. In July 2025, the European Commission granted marketing authorization for AUCATZYL in adult patients (age 26 and older) with r/r B-ALL. Evaluation of potential pricing and feasibility of market entry opportunities in certain European Union, or EU, countries is ongoing; however, at this time, launch in the EU is on hold and we do not anticipate any EU sales of AUCATZYL in 2026. </w:t>
      </w:r>
    </w:p>
    <w:p>
      <w:pPr>
        <w:pStyle w:val="TextBody"/>
        <w:bidi w:val="0"/>
        <w:spacing w:before="240" w:after="0"/>
        <w:jc w:val="left"/>
        <w:rPr>
          <w:rFonts w:ascii="Times New Roman" w:hAnsi="Times New Roman"/>
          <w:sz w:val="20"/>
        </w:rPr>
      </w:pPr>
      <w:r>
        <w:rPr>
          <w:rFonts w:ascii="Times New Roman" w:hAnsi="Times New Roman"/>
          <w:sz w:val="20"/>
        </w:rPr>
        <w:t xml:space="preserve">AUCATZYL is a B-lymphocyte antigen CD19 chimeric antigen receptor T cell therapy. AUCATZYL is designed with a fast target binding off-rate to minimize excessive activation of the programmed T cells. Adult r/r B- ALL is an extremely aggressive type of blood cancer with a high unmet medical need in the treatment of patients once they relapse, where historically patients suffer from poor outcomes. AUCATZYL is manufactured at our dedicated commercial manufacturing site, the Nucleus, in Stevenage, U.K. We intend for the Nucleus to meet the global supply demands of AUCATZYL, with Cardinal Health serving as our commercial distribution partner in the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AUCATZYL/obe-cel for the treatment of adult r/r B-ALL, we are advancing obe-cel in other oncology indications including pediatric B-ALL and B-NHL. Data from the Phase 1b cohort of the ongoing Phase 1b/2 CATULUS trial evaluating the safety and efficacy of obe-cel in pediatric B-ALL and B-NHL patients was presented at the American Society of Hematology, or ASH Annual Meeting in December 2025. Data show the safety profile of obe-cel in pediatric patients is consistent with that previously reported in adults, with low rates of high-grade cytokine release syndrome, or CRS, and immune effector cell-associated neurotoxicity syndrome, or ICANS. Overall response rate was high at 95%, and nearly 90% of responders had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remission at data cut-off. Enrollment into the Phase 2 cohort is ongoing, and in October 2025, the FDA granted regenerative medicine advanced therapy designation to obe-cel for the treatment of pediatric patients with r/r B-ALL. Obe-cel is also being developed for the treatment of autoimmune indications, and we have initiated a Phase 1 trial in patients with severe, refractory systemic lupus erythematosus. Data from the ongoing Phase 1 CARLYSLE trial evaluating obe-cel in patients with severe refractory systemic lupus erythematosus was presented at the ASH Annual Meeting in December 2025. The data showed deep, durable responses in patients receiving the 50 million obe-cel dose level, and initial data suggest substantial early improvement in three patients dosed with obe-cel at 100 million dose level. All patients show deep B-cell depletion after infusion, suggesting an immune reset. Nine patients were evaluable for safety, and no ICANS or high-grade CRS were observed. </w:t>
      </w:r>
    </w:p>
    <w:p>
      <w:pPr>
        <w:pStyle w:val="TextBody"/>
        <w:bidi w:val="0"/>
        <w:spacing w:before="240" w:after="0"/>
        <w:jc w:val="left"/>
        <w:rPr>
          <w:rFonts w:ascii="Times New Roman" w:hAnsi="Times New Roman"/>
          <w:sz w:val="20"/>
        </w:rPr>
      </w:pPr>
      <w:r>
        <w:rPr>
          <w:rFonts w:ascii="Times New Roman" w:hAnsi="Times New Roman"/>
          <w:sz w:val="20"/>
        </w:rPr>
        <w:t xml:space="preserve">We are enrolling patients in our Phase 2 clinical trial of obe-cel in severe, refractory lupus nephritis and we expect to report data in 2028. We are also advancing obe-cel in a Phase 1 dose escalation clinical trial in progressive multiple sclerosis and expect to present first preliminary results, including safety, PK/PD and biomarker data, in the first quarter of 2027. </w:t>
      </w:r>
    </w:p>
    <w:p>
      <w:pPr>
        <w:pStyle w:val="TextBody"/>
        <w:bidi w:val="0"/>
        <w:spacing w:before="240" w:after="0"/>
        <w:jc w:val="left"/>
        <w:rPr>
          <w:rFonts w:ascii="Times New Roman" w:hAnsi="Times New Roman"/>
          <w:sz w:val="20"/>
        </w:rPr>
      </w:pPr>
      <w:r>
        <w:rPr>
          <w:rFonts w:ascii="Times New Roman" w:hAnsi="Times New Roman"/>
          <w:sz w:val="20"/>
        </w:rPr>
        <w:t xml:space="preserve">Our T cell programming technologies allow us to tailor our therapies to address the specific disease we are targeting and introduce new programming modules into a patient’s T cells to give those T cells improved properties to better recognize target cells and overcome fundamental disease defense mechanisms. Cancers in particular thrive on their ability to fend off T cells by evading recognition by T cells and by establishing other defense mechanisms, such as checkpoint inhibition, and creating a hostile microenvironment. We believe our leadership in T cell programming technologies will provide us with a competitive advantage as we look to develop future generations of T cell therapies targeting hematological cancers, solid tumors and autoimmune diseases, including potential products that could have a sufficient tolerability profile to enable use in outpatient settings.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are a public limited company, originally incorporated pursuant to the laws of England and Wales in February 2018 as a private company with limited liability called Autolus Therapeutics Limited. Autolus Limited was originally incorporated under the laws of England and Wales in July 2014. Pursuant to the terms of a corporate reorganization carried out in June 2018, the shareholders of Autolus Limited exchanged each of the shares held by them in Autolus Limited for the same number and class of newly issued shares of Autolus Therapeutics Limited and, as a result, Autolus Limited became a wholly owned subsidiary of Autolus Therapeutics Limited. On June 18, 2018, Autolus Therapeutics Limited re-registered as a public limited company and was renamed Autolus Therapeutics plc. On June 22, 2018, the different classes of our issued share capital were converted into a single class of ordinary shares and various classes of deferred shares, and we completed our IPO on the Nasdaq Global Select Market, or “Nasdaq”. Our ADSs trade on Nasdaq under the symbol “AUTL”. Our ordinary shares are not listed. </w:t>
      </w:r>
    </w:p>
    <w:p>
      <w:pPr>
        <w:pStyle w:val="TextBody"/>
        <w:bidi w:val="0"/>
        <w:spacing w:before="240" w:after="0"/>
        <w:jc w:val="left"/>
        <w:rPr>
          <w:rFonts w:ascii="Times New Roman" w:hAnsi="Times New Roman"/>
          <w:sz w:val="20"/>
        </w:rPr>
      </w:pPr>
      <w:r>
        <w:rPr>
          <w:rFonts w:ascii="Times New Roman" w:hAnsi="Times New Roman"/>
          <w:sz w:val="20"/>
        </w:rPr>
        <w:t xml:space="preserve">Our registered office and principal executive offices are located at the MediaWorks, 191 Wood Lane, White City, London W12 7FP, United Kingdom and our telephone number is +44 20 3829 6230. Our agent for service of process in the United States is Autolus Inc., 15810 Gaither Drive, Gaithersburg, Maryland, 20877. Our website address is www.autolus.com. The information contained on our website is not incorporated by reference into this prospectus, and you should not consider any information contained on, or that can be accessed through, our website as part of this prospectus or in deciding whether to purchase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Implications of Being a Foreign Private Issuer </w:t>
      </w:r>
    </w:p>
    <w:p>
      <w:pPr>
        <w:pStyle w:val="TextBody"/>
        <w:bidi w:val="0"/>
        <w:spacing w:before="120" w:after="0"/>
        <w:jc w:val="left"/>
        <w:rPr>
          <w:rFonts w:ascii="Times New Roman" w:hAnsi="Times New Roman"/>
          <w:sz w:val="20"/>
        </w:rPr>
      </w:pPr>
      <w:r>
        <w:rPr>
          <w:rFonts w:ascii="Times New Roman" w:hAnsi="Times New Roman"/>
          <w:sz w:val="20"/>
        </w:rPr>
        <w:t xml:space="preserve">Although we qualify as a foreign private issuer, we have decided to voluntarily file periodic reports, such as annual reports on Form 10-K (including our Annual Report on Form 10-K for the fiscal year ended December 31, 2025), quarterly reports on Form 10-Q and current reports on Form 8-K on U.S. domestic issuer forms, which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detailed and extensive in certain respects, and which must be filed more promptly, than the forms currently available to foreign private issuers. Similarly, we have decided to file registration statements, including the registration statement on Form S-3 of which this prospectus forms a part, on U.S. domestic issuer forms. Although we have voluntarily chosen to file registration statements, periodic reports and current reports on U.S. domestic issuer forms, we maintain our status as a foreign private issuer as long as we meet the qualifications for a foreign private issuer under the Exchange Act. Accordingly, as a foreign private issuer, we remain exempt from the U.S. federal proxy rules pursuant to Section 14 of the Exchange Act and Regulations 14A and 14C thereunder, Regulation FD, and our officers, directors, and principal shareholders are not subject to the short-swing profit recovery provisions contained in Section 16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ADSs offered by the selling securityholder </w:t>
            </w:r>
          </w:p>
        </w:tc>
        <w:tc>
          <w:tcPr>
            <w:tcW w:w="6328" w:type="dxa"/>
            <w:tcBorders/>
          </w:tcPr>
          <w:p>
            <w:pPr>
              <w:pStyle w:val="TableContents"/>
              <w:bidi w:val="0"/>
              <w:spacing w:before="0" w:after="283"/>
              <w:jc w:val="left"/>
              <w:rPr/>
            </w:pPr>
            <w:r>
              <w:rPr/>
              <w:t xml:space="preserve">Up to 3,500,000 ADSs, each ADS representing one ordinary share, issuable upon exercise of the Warrant held by the selling securityholder.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to be outstanding after this offering </w:t>
            </w:r>
          </w:p>
        </w:tc>
        <w:tc>
          <w:tcPr>
            <w:tcW w:w="6329" w:type="dxa"/>
            <w:tcBorders/>
          </w:tcPr>
          <w:p>
            <w:pPr>
              <w:pStyle w:val="TableContents"/>
              <w:bidi w:val="0"/>
              <w:spacing w:before="0" w:after="283"/>
              <w:jc w:val="left"/>
              <w:rPr/>
            </w:pPr>
            <w:r>
              <w:rPr/>
              <w:t xml:space="preserve">269,662,540 (assuming the sale of all 3,500,000 ADSs, issuable upon exercise of the Warrant held by the selling securityholder), based on the number of ordinary shares outstanding as of August 10,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The selling securityholder will receive all of the net proceeds from this offering. We will not receive any proceeds from the sale of ADSs in this offering. We will, however, bear the costs incurred in connection with the registration of these ADSs. Upon the exercise of the Warrant for cash, we will receive the exercise price of the Warrant. The exercise price of the Warrant is $1.9314 per ADS.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American Depositary Shares </w:t>
            </w:r>
          </w:p>
        </w:tc>
        <w:tc>
          <w:tcPr>
            <w:tcW w:w="6328" w:type="dxa"/>
            <w:tcBorders/>
          </w:tcPr>
          <w:p>
            <w:pPr>
              <w:pStyle w:val="TableContents"/>
              <w:bidi w:val="0"/>
              <w:spacing w:before="0" w:after="283"/>
              <w:jc w:val="left"/>
              <w:rPr/>
            </w:pPr>
            <w:r>
              <w:rPr/>
              <w:t xml:space="preserve">Each ADS represents one ordinary share, nominal value $0.000042 per share. ADSs may be evidenced by American Depositary Receipts, or ADRs. The depositary will hold the ordinary shares underlying the ADSs in a custody account with the custodian, and you will have the rights of an ADS holder or beneficial owner (as applicable) as provided in the deposit agreement among us, the depositary and holders and beneficial owners of ADSs. To better understand the terms of our ADSs, see the description under the caption “American Depositary Shares” in Exhibit 4.3 to our Annual Report on Form 10-K, filed with the SEC on March 27, 2026. We also encourage you to read the deposit agreement, which is filed as Exhibit 4.1 to the registration statement of which this prospectus forms a part.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Depositary </w:t>
            </w:r>
          </w:p>
        </w:tc>
        <w:tc>
          <w:tcPr>
            <w:tcW w:w="6327" w:type="dxa"/>
            <w:tcBorders/>
          </w:tcPr>
          <w:p>
            <w:pPr>
              <w:pStyle w:val="TableContents"/>
              <w:bidi w:val="0"/>
              <w:spacing w:before="0" w:after="283"/>
              <w:jc w:val="left"/>
              <w:rPr/>
            </w:pPr>
            <w:r>
              <w:rPr/>
              <w:t xml:space="preserve">Citibank,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Custodian </w:t>
            </w:r>
          </w:p>
        </w:tc>
        <w:tc>
          <w:tcPr>
            <w:tcW w:w="6329" w:type="dxa"/>
            <w:tcBorders/>
          </w:tcPr>
          <w:p>
            <w:pPr>
              <w:pStyle w:val="TableContents"/>
              <w:bidi w:val="0"/>
              <w:spacing w:before="0" w:after="283"/>
              <w:jc w:val="left"/>
              <w:rPr/>
            </w:pPr>
            <w:r>
              <w:rPr/>
              <w:t xml:space="preserve">Citibank, N.A. (London)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29" w:type="dxa"/>
            <w:tcBorders/>
          </w:tcPr>
          <w:p>
            <w:pPr>
              <w:pStyle w:val="TableContents"/>
              <w:bidi w:val="0"/>
              <w:spacing w:before="0" w:after="283"/>
              <w:jc w:val="left"/>
              <w:rPr/>
            </w:pPr>
            <w:r>
              <w:rPr/>
              <w:t>“</w:t>
            </w:r>
            <w:r>
              <w:rPr/>
              <w:t xml:space="preserve">AUTL”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1204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any applicable prospectus supplement and any related free writing prospectus, and under similar headings in our Annual Report on Form 10-K for the fiscal year ended December 31, 2025, as may be updated by our subsequent Quarterly Reports on Form 10-Q or in other subsequent filings with the SEC,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12040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into this prospectus contain forward-looking statements within the meaning of Section 27A of the Securities Act of 1933, as amended, or the Securities Act, and Section 21E of the Exchange Act, that involve substantial risks and uncertainties. Any forward-looking statement involves known and unknown risks, uncertainties and other factors that may cause our actual results, levels of activity, performance or achievements to differ materially from any future results, levels of activity, performance or achievements expressed or implied by such forward-looking statement.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although not all forward-looking statements contain these identifying words. These statements involve known and unknown risks, uncertainties and other important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prospectus and the documents incorporated by reference into this prospectus are based upon information available to us as of the date of this prospectus and, while we believe we have a reasonable basis for each forward-looking statement contained in this prospectus, we caution you that these statements are based on a combination of facts and factors currently known by us and our expectations of the future, about which we cannot be certain. Forward-looking statements include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potential and expected clinical benefits of AUCATZYL/obe-cel (obecabtagene autoleucel) for adult patients with relapsed or refractory B-cell precursor acute lymphoblastic leukemia, or r/r B-ALL;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revenues from AUCATZYL, which is dependent upon maintaining significant market acceptance among physicians, patients and healthcare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regulatory approval of AUCATZYL in the United States, or the US, to obtain and maintain regulatory approval for obe-cel for adult r/r B-ALL in additional territories and the timing thereof, and to obtain and maintain regulatory approval of our other product candidates in the indications for which we plan to develop them, and any related restrictions, limitations or warnings in the label of an approved drug or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commercialization and marketing of AUCATZYL for adult r/r B-ALL, including expanding into additional territories and the related timing of reaching patients in such territories;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our commercial product and product candidates, including statements regarding the initiation, timing, progress and the results of clinical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for AUCATZYL, including our ability to successfully recruit and retain sales and marketing personnel and to successfully build the market for AUCATZYL;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about the willingness of healthcare providers to recommend AUCATZYL to people with adult r/r B-ALL;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impacts of public health crises and their effects on our operations and business, including interruption of key clinical trial activities, such as clinical trial site monitoring, access to capital,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disruption in the operations and business of third-party manufacturers, clinical sites, contract research organizations, or CROs, other service providers and collaborators with whom we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ability to obtain and maintain intellectual property protection and our ability to license additional intellectual property relating to our product candidates from third parties and to comply with our existing license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research, develop, manufacture and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our commercial product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regulatory filings and approvals for our product candidates, along with regulatory developments in the US, European Union, or the EU, the United Kingdom, or the U.K., and other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commercial product and product candidates, if approved, and the rate and degree of market acceptance of our commercial product and product candidates, including reimbursement that may be received from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for and ability to obtain additional funding, on favorable terms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strategic financing facility with Perceptive, including our ability to draw down additional tranches under the facility, our ability to achieve the revenue targets or other conditions applicable to future tranches, and our ability to satisfy our repayment and other obligations under the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exercise by the investors of our dilutive instruments, including the exercise of the Warrant by the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collaborate, or statements regarding our current collaborations with BioNTech SE, or BioNTech, and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license and option agreement with BioNTech, including our potential to receive milestone payments and royalties under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collaborators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recruit and retain qualified employees and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scalability and commercial viability of our manufacturing methods and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are classified as a Passive Foreign Investment Company, or PFIC, for current and future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costs and expenses related to our decision to voluntarily comply with certain U.S. domestic issuer reporting obligations before we are required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factors which may impact our financial results or future trading prices of our ADSs and the impact of securities analysts’ reports on these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factors discussed under the headings “Business,” “Risk Factors” and “Management’s Discussion and Analysis of Financial Condition and Results of Operations” in our most recent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refer to the “Risk Factors” section included in this prospectus and in the other documents incorporated herein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applicable regulations or the rules of any stock exchange to which we are subject.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any applicable prospectus supplement, any free writing prospectuses that we may authorize for use in connection with an offering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1204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ADSs in this offering. The selling securityholder will receive all of the proceeds from the sale of ADSs hereunder. We will, however, bear the costs incurred in connection with the registration of these ADSs. </w:t>
      </w:r>
    </w:p>
    <w:p>
      <w:pPr>
        <w:pStyle w:val="TextBody"/>
        <w:bidi w:val="0"/>
        <w:spacing w:before="240" w:after="0"/>
        <w:jc w:val="left"/>
        <w:rPr>
          <w:rFonts w:ascii="Times New Roman" w:hAnsi="Times New Roman"/>
          <w:sz w:val="20"/>
        </w:rPr>
      </w:pPr>
      <w:r>
        <w:rPr>
          <w:rFonts w:ascii="Times New Roman" w:hAnsi="Times New Roman"/>
          <w:sz w:val="20"/>
        </w:rPr>
        <w:t xml:space="preserve">Upon the exercise of the Warrant for cash, we will receive the exercise price of the Warrant. The exercise price of the Warrant is $1.9314 per ADS. The Warrant may also be exercised on a cashless basis, in which case we would not receive any cash proceeds from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12040_6"/>
      <w:bookmarkEnd w:id="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which, as used herein, includes donees, pledgees, transferees, distributees, or other successors-in-interest selling our ADSs and our ordinary shares represented thereby or, collectively, the securities, or interests in securities received after the date of this prospectus from the selling securityholder as a gift, pledge, distribution, or other transfer, may, from time to time, sell, transfer, distribute, or otherwise dispose of certain of its securities on any stock exchange, market, or trading facility on which securities are traded or in private transactions. These dispositions may be at fixed prices, at prevailing market prices at the time of sale, at prices related to the prevailing market prices,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use any one or more of the following methods when disposing of its securities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its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and the settlement of short sales entered into, after the date of the registration statement of which this prospectus forms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or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broker-dealers who may agree with the selling securityholder to sell a specified number of such securities at a stipulated price per ADS or ordinary share;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from time to time, pledge or grant a security interest in some securities owned by it and, if the selling securityholder defaults in the performance of its secured obligations, the pledgees or secured parties may offer and sell such securities, from time to time, under this prospectus, or under an amendment or supplement to this prospectus amending the list of the selling securityholder to include the pledgee, transferee, or other successors-in-interest as the selling securityholder under this prospectus. The selling securityholder also may transfer securities in other circumstances, in which case the transferees, pledgees, or other successors-in-interest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or interests therein, the selling securityholder may enter into hedging transactions with broker-dealers or other financial institutions, which may in turn engage in short sales of such securities in the course of hedging the positions they assume. The selling securityholder may also sell securities short and deliver these securities to close out its short positions, or loan or pledge securities to broker-dealers that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turn may sell these securities. The selling securityholder may also enter into option or other transactions with broker-dealers or other financial institutions or the creation of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securityholder from the sale of securities offered by it will be the purchase price of such securities, less discounts or commissions, if any. The selling securityholder reserves the right to accept and, together with its agents from time to time, to reject, in whole or in part, any proposed purchase of securities to be made directly or through agents. We will not receive any of the proceeds from any offering by the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also may in the future resell a portion of the securities in open-market transactions in reliance upon Rule 144 under the Securities Act (provided that it meets the criteria and conforms to the requirements of that rule),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and any underwriters, broker-dealers, or agents that participate in the sale of securities or interests therein may be “underwriters” within the meaning of Section 2(11) of the Securities Act. Any discounts, commissions, concessions, or profit it earns on any resale of such securities may be underwriting discounts and commissions under the Securities Act. If the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 to indemnification against and contribution toward specific civil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number of securities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offering of securities offered by the selling securityholder, certain persons participating in the offering may engage in transactions that stabilize, maintain, or otherwise affect the price of the securities. This may include over-allotments or short sales,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by and between the Company and Perceptive, dated as of July 30, 2026, or the Registration Rights Agreement, we have agreed to indemnify the selling securityholder against certain liabilities that it may incur in connection with the sale of the securities registered hereunder, including liabilities under the Securities Act, and to contribute to payments that the selling securityholder may be required to make with respect thereto. In addition, we and the selling securityholder may agree to indemnify any underwriter, broker-dealer, or agent against certain liabilities related to the selling of the securities,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agreed to maintain the effectiveness of the registration statement of which this prospectus forms a part until all such securities have been sold under such registration statement or under Rule 144 under the Securities Act or are no longer outstanding, or under other circumstances as described in the Registration Rights Agreement. We have agreed to pay all expenses in connection with this offering, other than underwriting fees, discounts, selling commissions, stock transfer taxes, and certain legal expenses. The selling securityholder will pay, on a pro rata basis, any underwriting fees, discounts, selling commissions, stock transfer taxes, and certain legal expenses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use this prospectus in connection with resales of securities. This prospectus and any accompanying prospectus supplement will identify the selling securityholder, the terms of the securities, and any material relationships between us and the selling securityholder. The selling securityholder may be deemed to be an underwriter under the Securities Act in connection with securities it resells and any profits on the sales may be deemed to be underwriting discounts and commissions under the Securities Act. Unless otherwise set forth in a prospectus supplement, the selling securityholder will receive all the net proceeds from the resale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elect to make an in-kind distribution of securities to its members, partners, or shareholders pursuant to the registration statement of which this prospectus forms a part by delivering a prospectus. To the extent that such members, partners, or shareholders are not affiliates of ours, such members, partners, or shareholders would thereby receive freely tradable securities pursuant to the distribution through a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12040_7"/>
      <w:bookmarkEnd w:id="9"/>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our share capital and articles of association, please refer to the description of our securities filed as Exhibit 4.3 to our Annual Report on Form 10-K for the fiscal year ended December 31, 2025, filed with the SEC on March 27, 2026, and the full text of our articles of association, filed as Exhibit 3.1 to the registration statement of which this prospectus forms a part, as well as any amendments thereto reflected in our subsequent filings with the SEC, all of which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12040_8"/>
      <w:bookmarkEnd w:id="10"/>
      <w:r>
        <w:rPr>
          <w:rFonts w:ascii="Times New Roman" w:hAnsi="Times New Roman"/>
          <w:b/>
          <w:sz w:val="20"/>
        </w:rPr>
        <w:t xml:space="preserve">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The ADSs being offered by the selling securityholder are those issuable upon exercise of the Warrant issued to Perceptive in connection with the Note Purchase Agreement and Guaranty, dated as of July 30, 2026, or the Note Purchase Agreement, by and among the Company, certain subsidiaries of the Company, the noteholders party thereto and Perceptive, as administrative agent for the noteholders. Under the Note Purchase Agreement, the Company issued the Warrant to Perceptive on July 30, 2026 to purchase up to 3,500,000 ADSs at an exercise price of $1.9314 per ADS. The Warrant has an expiration date of July 30, 2036 and may be exercised on a cashless basis. The Company and Perceptive entered into the Registration Rights Agreement, dated as of July 30, 2026, pursuant to which the Company agreed to file a registration statement to register the resale of the ADSs issuable upon exercise of the Warrant. For additional information regarding the Note Purchase Agreement, the Warrant and our relationship with Perceptive, see the Current Report on Form 8-K filed with the SEC on August 3, 2026. We are registering the ADSs in order to permit the selling securityholder to offer ADSs for resale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to our knowledge, information about the selling securityholder as of 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securityholder may offer ADSs registered for resale pursuant to the registration statement of which this prospectus forms a part, and the selling securityholder might not sell any or all of such ADSs. Because the selling securityholder may offer all or some of such ADSs and because there are currently no agreements or understandings with respect to the sale of any ADSs, we cannot estimate the number of ADSs that will be held by the selling securityholder after completion of this offering. However, for purposes of this table, we have assumed that, after completion of this offering, none of such ADSs will be held by the selling securityholder.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ordinary shares (including in the form of ADSs), including ordinary shares beneficially owned pursuant to outstanding options, warrants and other derivative securities that are exercisable or exchangeable for our ordinary shares within 60 days of September 10, 2026. The inclusion of any shares in this table does not constitute an admission of beneficial ownership.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 may have sold or transferred some or all of its ordinary shares since the date on which the information in the table below is presented. Information about the selling securityholder may change over time. </w:t>
      </w:r>
    </w:p>
    <w:p>
      <w:pPr>
        <w:pStyle w:val="TextBody"/>
        <w:bidi w:val="0"/>
        <w:spacing w:before="0" w:after="0"/>
        <w:jc w:val="left"/>
        <w:rPr/>
      </w:pPr>
      <w:r>
        <w:rPr/>
        <w:t> </w:t>
      </w:r>
    </w:p>
    <w:tbl>
      <w:tblPr>
        <w:tblW w:w="9820" w:type="dxa"/>
        <w:jc w:val="center"/>
        <w:tblInd w:w="0" w:type="dxa"/>
        <w:tblLayout w:type="fixed"/>
        <w:tblCellMar>
          <w:top w:w="0" w:type="dxa"/>
          <w:left w:w="0" w:type="dxa"/>
          <w:bottom w:w="0" w:type="dxa"/>
          <w:right w:w="0" w:type="dxa"/>
        </w:tblCellMar>
      </w:tblPr>
      <w:tblGrid>
        <w:gridCol w:w="2270"/>
        <w:gridCol w:w="60"/>
        <w:gridCol w:w="78"/>
        <w:gridCol w:w="1277"/>
        <w:gridCol w:w="60"/>
        <w:gridCol w:w="60"/>
        <w:gridCol w:w="221"/>
        <w:gridCol w:w="1179"/>
        <w:gridCol w:w="275"/>
        <w:gridCol w:w="60"/>
        <w:gridCol w:w="63"/>
        <w:gridCol w:w="1037"/>
        <w:gridCol w:w="350"/>
        <w:gridCol w:w="60"/>
        <w:gridCol w:w="162"/>
        <w:gridCol w:w="1028"/>
        <w:gridCol w:w="60"/>
        <w:gridCol w:w="60"/>
        <w:gridCol w:w="190"/>
        <w:gridCol w:w="1210"/>
        <w:gridCol w:w="60"/>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Securityholder</w:t>
            </w:r>
          </w:p>
        </w:tc>
        <w:tc>
          <w:tcPr>
            <w:tcW w:w="6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 Prior</w:t>
              <w:br/>
              <w:t>to the</w:t>
              <w:br/>
              <w:t>Offering(1)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 Prior</w:t>
              <w:br/>
              <w:t>to the</w:t>
              <w:br/>
              <w:t>Offering(1)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Registered</w:t>
              <w:br/>
              <w:t>for Sale</w:t>
              <w:br/>
              <w:t>Hereby</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Beneficially</w:t>
              <w:br/>
              <w:t>Owned</w:t>
              <w:br/>
              <w:t>After the</w:t>
              <w:br/>
              <w:t>Offering(1)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br/>
              <w:t>After the</w:t>
              <w:br/>
              <w:t>Offering(1)</w:t>
            </w:r>
          </w:p>
        </w:tc>
        <w:tc>
          <w:tcPr>
            <w:tcW w:w="60" w:type="dxa"/>
            <w:tcBorders/>
            <w:vAlign w:val="bottom"/>
          </w:tcPr>
          <w:p>
            <w:pPr>
              <w:pStyle w:val="TableContents"/>
              <w:bidi w:val="0"/>
              <w:spacing w:before="0" w:after="283"/>
              <w:jc w:val="left"/>
              <w:rPr/>
            </w:pPr>
            <w:r>
              <w:rPr/>
              <w:t> </w:t>
            </w:r>
          </w:p>
        </w:tc>
      </w:tr>
      <w:tr>
        <w:trPr/>
        <w:tc>
          <w:tcPr>
            <w:tcW w:w="2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Perceptive Credit Holdings V, LP(2)</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1.3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3,500,000</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is based upon information supplied by the selling securityholder, which information may not be accurate as of the date hereof. We have determined beneficial ownership in accordance with the rules of the SEC. Applicable percentages are based on 266,162,540 shares outstanding on August 10,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ADSs to be registered for sale hereunder consist of up to 3,500,000 ADSs issuable upon the exercise of the Warrant issued to Perceptive on July 30, 2026. Perceptive Credit Holdings V, LP is a Delaware limited partnership. Perceptive Credit Opportunities GP, LLC is the general partner of Perceptive Credit Holdings V, LP. Joseph Edelman is the sole member of Perceptive Credit Opportunities GP, LLC. The address of the principal business office of Perceptive Credit Holdings V, LP is c/o Perceptive Advisors LLC, 51 Astor Place, 10th Floor, New York, NY 10003.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registered for sale assumes no anti-dilution adjustments have been made to the number of ADSs issuable upon exercise of the Warrant. The actual number of ADSs issuable upon exercise of the Warrant may be higher or lower depending on any adjustments made pursuant to the terms of the Warrant.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12040_9"/>
      <w:bookmarkEnd w:id="11"/>
      <w:r>
        <w:rPr>
          <w:rFonts w:ascii="Times New Roman" w:hAnsi="Times New Roman"/>
          <w:b/>
          <w:sz w:val="20"/>
        </w:rPr>
        <w:t xml:space="preserve">TAXATION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contains a description of material U.K. and U.S. federal income tax consequences of the acquisition, ownership and disposition of our ADSs. This summary should not be considered a comprehensive description of all the tax considerations that may be relevant to beneficial owners of ADSs.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description of the material U.S. federal income tax consequences to the U.S. Holders (as defined below) of owning and disposing of our ADSs. It is not a comprehensive description of all tax considerations that may be relevant to a particular person’s decision to acquire securities. This discussion applies only to a U.S. Holder that holds our ADSs as a capital asset for tax purposes within the meaning of Section 1221 of the Internal Revenue Code of 1986, as amended, or the Code, (generally, property held for investment). In addition, it does not describe all of the tax considerations that may be relevant in light of a U.S. Holder’s particular circumstances, including state, local and non-U.S. tax considerations, estate and gift tax considerations, the impact of special tax accounting rules under Section 451(b) of the Code or the alternative minimum tax provisions of the Code, the potential application of the Medicare contribution tax, and tax considerations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who use a mark-to-market method of tax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ADSs as part of a hedging transaction, “straddle,” wash sale, conversion transaction or integrated transaction or persons entering into a constructive sale with respect to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commodities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ADSs pursuant to the exercise of any employee share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or are deemed to own 10 percent or more of our shares including shares represented by ADSs (by vote or value);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ADSs in connection with a trade or business, permanent establishment, or fixed base outside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ADSs, the U.S. federal income tax treatment of a partner will generally depend on the status of the partner and the activities of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Partnerships holding ADSs and partners in such partnerships are encouraged to consult their tax advisers as to the particular U.S. federal income tax consequences of holding and disposing of ADSs.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is based on the Code, administrative pronouncements, judicial decisions, final, temporary and proposed Treasury Regulations, and the income tax treaty between the United Kingdom and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States, or the Treaty, all as of the date hereof, changes to any of which may affect the tax consequences described herein, possibly with retroactive effect. There can be no assurances that the U.S. Internal Revenue Service, or the IRS, will not take a position different from what is described below concerning the tax consequences of the ownership and disposition of ADSs or that such a position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A “U.S. Holder” is a holder who, for U.S. federal income tax purposes, is a beneficial owner of ADSs who is eligible for the benefits of the Treaty and is: </w:t>
      </w:r>
    </w:p>
    <w:p>
      <w:pPr>
        <w:pStyle w:val="TextBody"/>
        <w:bidi w:val="0"/>
        <w:spacing w:before="120" w:after="0"/>
        <w:jc w:val="left"/>
        <w:rPr>
          <w:rFonts w:ascii="Times New Roman" w:hAnsi="Times New Roman"/>
          <w:sz w:val="20"/>
        </w:rPr>
      </w:pPr>
      <w:r>
        <w:rPr>
          <w:rFonts w:ascii="Times New Roman" w:hAnsi="Times New Roman"/>
          <w:sz w:val="20"/>
        </w:rPr>
        <w:t xml:space="preserve">(i) a citizen or individual resident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(ii) a corporation, or other entity taxable as a corporation, created or organized in or under the laws of the United States, any state therein or the District of Columbia; </w:t>
      </w:r>
    </w:p>
    <w:p>
      <w:pPr>
        <w:pStyle w:val="TextBody"/>
        <w:bidi w:val="0"/>
        <w:spacing w:before="240" w:after="0"/>
        <w:jc w:val="left"/>
        <w:rPr>
          <w:rFonts w:ascii="Times New Roman" w:hAnsi="Times New Roman"/>
          <w:sz w:val="20"/>
        </w:rPr>
      </w:pPr>
      <w:r>
        <w:rPr>
          <w:rFonts w:ascii="Times New Roman" w:hAnsi="Times New Roman"/>
          <w:sz w:val="20"/>
        </w:rPr>
        <w:t xml:space="preserve">(iii) an estate the income of which is subject to U.S. federal income taxation regardless of its source; or </w:t>
      </w:r>
    </w:p>
    <w:p>
      <w:pPr>
        <w:pStyle w:val="TextBody"/>
        <w:bidi w:val="0"/>
        <w:spacing w:before="240" w:after="0"/>
        <w:jc w:val="left"/>
        <w:rPr>
          <w:rFonts w:ascii="Times New Roman" w:hAnsi="Times New Roman"/>
          <w:sz w:val="20"/>
        </w:rPr>
      </w:pPr>
      <w:r>
        <w:rPr>
          <w:rFonts w:ascii="Times New Roman" w:hAnsi="Times New Roman"/>
          <w:sz w:val="20"/>
        </w:rPr>
        <w:t xml:space="preserve">(iv)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encouraged to consult their tax advisers concerning the U.S. federal, state, local and non-U.S. tax consequences of owning and disposing of ADSs in their particular circumstances. </w:t>
      </w:r>
    </w:p>
    <w:p>
      <w:pPr>
        <w:pStyle w:val="TextBody"/>
        <w:bidi w:val="0"/>
        <w:spacing w:before="240" w:after="0"/>
        <w:jc w:val="left"/>
        <w:rPr>
          <w:rFonts w:ascii="Times New Roman" w:hAnsi="Times New Roman"/>
          <w:b/>
          <w:sz w:val="20"/>
        </w:rPr>
      </w:pPr>
      <w:r>
        <w:rPr>
          <w:rFonts w:ascii="Times New Roman" w:hAnsi="Times New Roman"/>
          <w:b/>
          <w:sz w:val="20"/>
        </w:rPr>
        <w:t xml:space="preserve">THESE PARAGRAPHS ARE A SUMMARY OF CERTAIN U.S. TAX CONSIDERATIONS AND ARE INTENDED AS A GENERAL GUIDE ONLY. IT IS RECOMMENDED THAT ALL HOLDERS OF ADSs OBTAIN ADVICE AS TO THE CONSEQUENCES OF THE ACQUISITION, OWNERSHIP AND DISPOSAL OF THE ADSs IN THEIR OWN SPECIFIC CIRCUMSTANCES FROM THEIR OWN TAX ADVISORS.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assumes that the representations contained in the deposit agreement are true and that the obligations in the deposit agreement and any related agreement will be complied with in accordance with their terms. A U.S. Holder of ADSs will generally be treated for U.S. federal income tax purposes as the beneficial owner of the underlying ordinary shares that such ADSs represent. The remainder of this discussion assumes that a U.S. Holder of the ADSs will be treated in this manner. Accordingly, no gain or loss will be recognized if a U.S. Holder exchanges ADSs for the underlying shares represented by those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If we are classified as a passive foreign investment company, or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 </w:t>
      </w:r>
    </w:p>
    <w:p>
      <w:pPr>
        <w:pStyle w:val="TextBody"/>
        <w:bidi w:val="0"/>
        <w:spacing w:before="240" w:after="0"/>
        <w:jc w:val="left"/>
        <w:rPr>
          <w:rFonts w:ascii="Times New Roman" w:hAnsi="Times New Roman"/>
          <w:sz w:val="20"/>
        </w:rPr>
      </w:pPr>
      <w:r>
        <w:rPr>
          <w:rFonts w:ascii="Times New Roman" w:hAnsi="Times New Roman"/>
          <w:sz w:val="20"/>
        </w:rPr>
        <w:t xml:space="preserve">We will be a PFIC for any taxable year in which (i) 75% or more of our gross income consists of passive income or (ii) 50% or more of the average quarterly value of our assets consists of assets that produce, or are held for the production of, passive income, including cash (other than certain cash held in non-interest bearing accounts for short-term working capital needs).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directly received its proportionate share of the income of such other corporation.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income, assets, activities and market capitalization, we believe we were not a PFIC for our taxable year ended December 31, 2025. However, the determination of whether we are a PFIC is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fact-intensive determination made on an annual basis and the applicable law is subject to varying interpretation. In particular, the characterization of our assets as active or passive may depend in part on our current and intended future business plans, which are subject to change, and the value of marketable securities and other passive assets that we may hold from time to time may fluctuate considerably.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Even if we determine that we are not a PFIC for a taxable year, there can be no assurance that the IRS will agree with our conclusion and that the IRS would not successfully challenge our position. Accordingly, our U.S. counsel expresses no opinion with respect to our PFIC status for our taxable year ended December 31, 2025, the current taxable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are classified as a PFIC in any year with respect to which a U.S. Holder owns ADSs, we will continue to be treated as a PFIC with respect to such U.S. Holder in all succeeding years during which the U.S. Holder owns the ADSs, regardless of whether we continue to meet the tests described above unless (i) we cease to be a PFIC and the U.S. Holder has made a “deemed sale” election under the PFIC rules, (ii) we cease to be a PFIC and the U.S. Holder has a valid mark-to-market election in effect (as described below) or (iii) the U.S. Holder makes a Qualified Electing Fund Election, or QEF Election, with respect to all taxable years during such U.S. Holder’s holding period in which we are a PFIC.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an effective QEF Election, the U.S. Holder will be required to include in gross income each year, whether or not we make distributions, as capital gains, such U.S. Holder’s pro rata share of our net capital gains and, as ordinary income, such U.S. Holder’s pro rata share of our earnings in excess of our net capital gains. However, a U.S. Holder can only make a QEF Election with respect to ADSs in a PFIC if such company agrees to furnish such U.S. Holder with certain tax information annually. However, there is no assurance that we will have timely knowledge of our status as a PFIC in the future or that the required information will be provided at a time that will permit a U.S. Holder to make or maintain a QEF Election. An electing U.S. Holder’s basis in ADSs will be increased to reflect the amount of any taxed but undistributed income. Distributions of income that had previously been taxed will result in a corresponding reduction of basis in the ADSs and may not be taxed again as distributions to the U.S. Holder. However, we do not currently expect to pay distributions with respect to our ADSs. U.S. Holders should consult with their tax advisors regarding the implications of owning stock in a PFIC, including whether and how to make and maintain a QEF Election. </w:t>
      </w:r>
    </w:p>
    <w:p>
      <w:pPr>
        <w:pStyle w:val="TextBody"/>
        <w:bidi w:val="0"/>
        <w:spacing w:before="240" w:after="0"/>
        <w:jc w:val="left"/>
        <w:rPr>
          <w:rFonts w:ascii="Times New Roman" w:hAnsi="Times New Roman"/>
          <w:sz w:val="20"/>
        </w:rPr>
      </w:pPr>
      <w:r>
        <w:rPr>
          <w:rFonts w:ascii="Times New Roman" w:hAnsi="Times New Roman"/>
          <w:sz w:val="20"/>
        </w:rPr>
        <w:t xml:space="preserve">If the “deemed sale” election is made, a U.S. Holder will be deemed to have sold the ADSs the U.S. Holder holds at their fair market value and any gain from such deemed sale would be subject to the rules described below. After the deemed sale election, so long as we do not become a PFIC in a subsequent taxable year, the U.S. Holder’s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ADSs. U.S. Holders should consult their tax advisors as to the possibility and consequences of making a deemed sale election if we cease to be a PFIC and such election becomes available. </w:t>
      </w:r>
    </w:p>
    <w:p>
      <w:pPr>
        <w:pStyle w:val="TextBody"/>
        <w:bidi w:val="0"/>
        <w:spacing w:before="240" w:after="0"/>
        <w:jc w:val="left"/>
        <w:rPr>
          <w:rFonts w:ascii="Times New Roman" w:hAnsi="Times New Roman"/>
          <w:sz w:val="20"/>
        </w:rPr>
      </w:pPr>
      <w:r>
        <w:rPr>
          <w:rFonts w:ascii="Times New Roman" w:hAnsi="Times New Roman"/>
          <w:sz w:val="20"/>
        </w:rPr>
        <w:t xml:space="preserve">For each taxable year we are treated as a PFIC with respect to U.S. Holders, U.S. Holders will be subject to special tax rules with respect to any “excess distribution” such U.S. Holder receives and any gain such U.S. Holder recognizes from a sale or other disposition (including a pledge) of ADSs, unless (i) such U.S. Holder makes a QEF Election with respect to all taxable years of a U.S. Holder’s holding period during which we are a PFIC or makes a “deemed sale” purging election to cause a deemed sale of the ADSs at their fair market value in conjunction with a QEF Election or (ii) our ADSs constitute “marketable” securities, and such U.S. Holder makes a mark-to-market election as discussed below. Distributions a U.S. Holder receives in a taxable year that are greater than 125% of the average annual distributions a U.S. Holder received during the shorter of the three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preceding taxable years or the U.S. Holder’s holding period for the ADSs will be treated as an excess distribution. Under these special tax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or gain will be allocated ratably over a U.S. Holder’s holding period for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 prior to the first taxable year in which we became a PFIC, will be treated as ordinary income;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other year will be subject to the highest tax rate in effect for that year and the interest charge generally applicable to underpayments of tax will be imposed on the resulting tax attributable to each such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tax liability for amounts allocated to years prior to the year of disposition or the year of an “excess distribution” cannot be offset by any net operating losses for such years, and gains (but not losses) realized on the sale of the ADSs cannot be treated as capital, even if a U.S. Holder holds the ADSs as capital assets.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U.S. Holders can avoid the interest charge on excess distributions or gain relating to the ADSs by making a mark-to-market election with respect to the ADSs provided that the ADSs are “marketable.” ADSs will be marketable if they are “regularly traded” on certain U.S. stock exchanges or on a foreign stock exchange that meets certain conditions. For these purposes, the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Nasdaq, which is a qualified exchange for these purposes. Consequently, if our ADSs remain listed on Nasdaq and are regularly traded, we expect the mark-to-market election would be available to U.S. Holders if we are a PFIC. Each U.S. Holder should consult its tax advisor as to whether a mark-to-market election is available or advisable with respect to the ADSs.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must include as ordinary income for each year an amount equal to the excess, if any, of the fair market value of the ADSs at the close of the taxable year over the U.S. Holder’s adjusted tax basis in the ADSs. Accordingly, such mark-to-market election may accelerate the recognition of income without a corresponding receipt of cash. An electing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will be treated as ordinary income, and any losses incurred on a sale or other disposition of the ADSs will be treated as an ordinary loss to the extent of any net mark-to-market gains for prior years. Once made, the election cannot be revoked without the consent of the IRS unless the ADSs cease to be marketable. </w:t>
      </w:r>
    </w:p>
    <w:p>
      <w:pPr>
        <w:pStyle w:val="TextBody"/>
        <w:bidi w:val="0"/>
        <w:spacing w:before="240" w:after="0"/>
        <w:jc w:val="left"/>
        <w:rPr>
          <w:rFonts w:ascii="Times New Roman" w:hAnsi="Times New Roman"/>
          <w:sz w:val="20"/>
        </w:rPr>
      </w:pPr>
      <w:r>
        <w:rPr>
          <w:rFonts w:ascii="Times New Roman" w:hAnsi="Times New Roman"/>
          <w:sz w:val="20"/>
        </w:rPr>
        <w:t xml:space="preserve">However, a mark-to-market election generally cannot be made for equity interests in any lower-tier PFICs that we own, unless shares of such lower-tier PFIC are themselves “marketable.” As a result, even if a U.S. Holder validly makes a mark-to-market election with respect to our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by the U.S. Treasury, each U.S. shareholder of a PFIC is required to file an annual report containing such information as the U.S. Treasury may require. A U.S. Holder’s failure to file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above under “Passive Foreign Investment Company Rules,” distributions paid on ADSs, other than certain pro rata distributions of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for the taxable year in which a dividend is paid or the preceding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ADSs or rights to acquire ADSs) will be the fair market value of such property on the date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For foreign tax credit limitation purposes, our dividends will generally be treated as passive category income. Because no U.K. income taxes will be withheld from dividends on ADSs, there will be no creditable foreign taxes associated with any dividends that a U.S. Holder will receive.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above under “Passive Foreign Investment Company Rules,” gain or loss realized on the sale or other taxable disposition of ADSs will be capital gain or loss and will be a long-term capital gain or loss if the U.S. Holder held the ADSs for more than one year. The amount of the gain or loss will equal the difference between the U.S. Holder’s tax basis in the ADSs disposed of and the amount realized on the disposition, in each case as determined in U.S. dollars. This gain or loss will generally be U.S.-source gain or loss for foreign tax credit purposes.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If the consideration received by a U.S. Holder is not paid in U.S. dollars, the amount realized will be the U.S. dollar value of the payment received determined by reference to the spot rate of exchange on the date of the sale or other disposition. However, if the ADSs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STRONGLY URGE YOU TO CONSULT YOUR TAX ADVISOR REGARDING THE IMPACT OF OUR PFIC STATUS ON YOUR INVESTMENT IN THE ADSs AS WELL AS THE APPLICATION OF THE PFIC RULES TO YOUR INVESTMENT IN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by providing a duly completed IRS Form W-9).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with Respect to Foreign 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Individuals who own “specified foreign financial assets” with an aggregate value in excess of $50,000 may be required to file an information report on IRS Form 8938, “Statement of Specified Foreign Financial Assets,” with respect to such assets with their tax returns.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foreign entities.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advisers regarding their reporting obligations with respect to their ownership and disposition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U.K.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intended as a general guide to current U.K. tax law and HM Revenue &amp; Customs, or HMRC, published practice applying as at the date of this prospectus (both of which are subject to change at any time, possibly with retrospective effect) relating to the holding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we do not (and will not) directly or indirectly derive 75% or more of our qualifying asset value from U.K. land, and that we are and remain solely resident in the United Kingdom for tax purposes and will therefore be subject to the U.K. tax regime and not the U.S. tax regime save as set out above under “Material U.S.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that the position of non-U.K. resident persons is expressly referred to, this guide relates only to persons who are resident for tax purposes solely in the United Kingdom and do not have a permanent establishment, branch, agency (or equivalent) or fixed base in any other jurisdiction with which the holding of the ADSs is connected, or U.K. Holders, who are absolute beneficial owners of the ADSs (where the ADSs are not held through an Individual Savings Account or a Self-Invested Personal Pension) and who hold the ADSs as investments. </w:t>
      </w:r>
    </w:p>
    <w:p>
      <w:pPr>
        <w:pStyle w:val="TextBody"/>
        <w:bidi w:val="0"/>
        <w:spacing w:before="240" w:after="0"/>
        <w:jc w:val="left"/>
        <w:rPr>
          <w:rFonts w:ascii="Times New Roman" w:hAnsi="Times New Roman"/>
          <w:sz w:val="20"/>
        </w:rPr>
      </w:pPr>
      <w:r>
        <w:rPr>
          <w:rFonts w:ascii="Times New Roman" w:hAnsi="Times New Roman"/>
          <w:sz w:val="20"/>
        </w:rPr>
        <w:t xml:space="preserve">This guide may not relate to certain classes of U.K. Holders, such as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are connected with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charities or tax-exempt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collective investment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schemes;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makers, intermediaries, 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have (or are deemed to have) acquired their ADSs by virtue of an office or employment or who are or have been officers or employees of the company or any of its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individuals to whom split-year treatment applies or who are subject to U.K. taxation under the U.K.’s foreign income and gains regime that came into force with effect from April 6,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decision of the First-tier Tribunal (Tax Chamber) in HSBC Holdings PLC and The Bank of New York Mellon Corporation v HMRC (2012) cast some doubt on whether a holder of a depositary receipt is the beneficial owner of the underlying shares. However, 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THESE PARAGRAPHS ARE A SUMMARY OF CERTAIN U.K. TAX CONSIDERATIONS AND ARE INTENDED AS A GENERAL GUIDE ONLY. IT IS RECOMMENDED THAT ALL HOLDERS OF ADSs OBTAIN ADVICE AS TO THE CONSEQUENCES OF THE ACQUISITION, OWNERSHIP AND DISPOSAL OF THE ADSs IN THEIR OWN SPECIFIC CIRCUMSTANCES FROM THEIR OWN TAX ADVISORS. IN PARTICULAR, NON-U.K. RESIDENT PERSONS ARE ADVISED TO CONSIDER THE POTENTIAL IMPACT OF ANY RELEVANT DOUBLE TAXATION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i/>
          <w:sz w:val="20"/>
        </w:rPr>
      </w:pPr>
      <w:r>
        <w:rPr>
          <w:rFonts w:ascii="Times New Roman" w:hAnsi="Times New Roman"/>
          <w:i/>
          <w:sz w:val="20"/>
        </w:rPr>
        <w:t xml:space="preserve">Withholding Tax </w:t>
      </w:r>
    </w:p>
    <w:p>
      <w:pPr>
        <w:pStyle w:val="TextBody"/>
        <w:bidi w:val="0"/>
        <w:spacing w:before="120" w:after="0"/>
        <w:jc w:val="left"/>
        <w:rPr>
          <w:rFonts w:ascii="Times New Roman" w:hAnsi="Times New Roman"/>
          <w:sz w:val="20"/>
        </w:rPr>
      </w:pPr>
      <w:r>
        <w:rPr>
          <w:rFonts w:ascii="Times New Roman" w:hAnsi="Times New Roman"/>
          <w:sz w:val="20"/>
        </w:rPr>
        <w:t xml:space="preserve">Dividends paid by us will not be subject to any withholding or deduction for or on account of U.K. tax.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 xml:space="preserve">An individual U.K. Holder may, depending on his or her particular circumstances, be subject to U.K. tax on dividends received from the company. An individual holder of ADSs who is not resident for tax purposes in the United Kingdom should not be chargeable to U.K. income tax on dividends received from the company unless he or she carries on (whether solely or in partnership) a trade, profession or vocation in the United Kingdom through a branch or agency to which the ADSs are attributable. There are certain exceptions for trading in the United Kingdom through independent agents, such as some brokers and investment managers. </w:t>
      </w:r>
    </w:p>
    <w:p>
      <w:pPr>
        <w:pStyle w:val="TextBody"/>
        <w:bidi w:val="0"/>
        <w:spacing w:before="240" w:after="0"/>
        <w:jc w:val="left"/>
        <w:rPr>
          <w:rFonts w:ascii="Times New Roman" w:hAnsi="Times New Roman"/>
          <w:sz w:val="20"/>
        </w:rPr>
      </w:pPr>
      <w:r>
        <w:rPr>
          <w:rFonts w:ascii="Times New Roman" w:hAnsi="Times New Roman"/>
          <w:sz w:val="20"/>
        </w:rPr>
        <w:t xml:space="preserve">All dividends received by an individual U.K. Holder from us or from other sources will form part of that U.K. Holder’s total income for income tax purposes and will constitute the top slice of that income. A nil rate of income tax will apply to the first £500 of taxable dividend income received by the individual U.K. Holder in the tax year 2026/2027. Income within the nil rate band will be taken into account in determining whether income in excess of the £500 tax-free allowance falls within the basic rate, higher rate or additional rate tax bands. In the tax year 2026/2027, dividend income in excess of the tax-free allowance will (subject to the availability of any income tax personal allowance) be taxed at 10.75% to the extent that the excess amount falls within the basic rate tax band, 35.75% to the extent that the excess amount falls within the higher rate tax band and 39.35% to the extent that the excess amount falls within the additional rate tax band.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Corporation Tax </w:t>
      </w:r>
    </w:p>
    <w:p>
      <w:pPr>
        <w:pStyle w:val="TextBody"/>
        <w:bidi w:val="0"/>
        <w:spacing w:before="120" w:after="0"/>
        <w:jc w:val="left"/>
        <w:rPr>
          <w:rFonts w:ascii="Times New Roman" w:hAnsi="Times New Roman"/>
          <w:sz w:val="20"/>
        </w:rPr>
      </w:pPr>
      <w:r>
        <w:rPr>
          <w:rFonts w:ascii="Times New Roman" w:hAnsi="Times New Roman"/>
          <w:sz w:val="20"/>
        </w:rPr>
        <w:t xml:space="preserve">A corporate holder of ADSs who is not resident for tax purposes in the United Kingdom should not be chargeable to U.K. corporation tax on dividends received from us unless it carries on (whether solely or in partnership) a trade in the United Kingdom through a permanent establishment to which the ADSs are attributable. </w:t>
      </w:r>
    </w:p>
    <w:p>
      <w:pPr>
        <w:pStyle w:val="TextBody"/>
        <w:bidi w:val="0"/>
        <w:spacing w:before="240" w:after="0"/>
        <w:jc w:val="left"/>
        <w:rPr>
          <w:rFonts w:ascii="Times New Roman" w:hAnsi="Times New Roman"/>
          <w:sz w:val="20"/>
        </w:rPr>
      </w:pPr>
      <w:r>
        <w:rPr>
          <w:rFonts w:ascii="Times New Roman" w:hAnsi="Times New Roman"/>
          <w:sz w:val="20"/>
        </w:rPr>
        <w:t xml:space="preserve">Corporate U.K. Holders should not be subject to U.K. corporation tax on any dividend received from us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Chargeable Gains </w:t>
      </w:r>
    </w:p>
    <w:p>
      <w:pPr>
        <w:pStyle w:val="TextBody"/>
        <w:bidi w:val="0"/>
        <w:spacing w:before="120" w:after="0"/>
        <w:jc w:val="left"/>
        <w:rPr>
          <w:rFonts w:ascii="Times New Roman" w:hAnsi="Times New Roman"/>
          <w:sz w:val="20"/>
        </w:rPr>
      </w:pPr>
      <w:r>
        <w:rPr>
          <w:rFonts w:ascii="Times New Roman" w:hAnsi="Times New Roman"/>
          <w:sz w:val="20"/>
        </w:rPr>
        <w:t xml:space="preserve">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 </w:t>
      </w:r>
    </w:p>
    <w:p>
      <w:pPr>
        <w:pStyle w:val="TextBody"/>
        <w:bidi w:val="0"/>
        <w:spacing w:before="240" w:after="0"/>
        <w:jc w:val="left"/>
        <w:rPr>
          <w:rFonts w:ascii="Times New Roman" w:hAnsi="Times New Roman"/>
          <w:sz w:val="20"/>
        </w:rPr>
      </w:pPr>
      <w:r>
        <w:rPr>
          <w:rFonts w:ascii="Times New Roman" w:hAnsi="Times New Roman"/>
          <w:sz w:val="20"/>
        </w:rPr>
        <w:t xml:space="preserve">If an individual U.K. Holder who is subject to U.K. income tax at either the higher or the additional rate is liable to U.K. capital gains tax on the disposal of ADSs, the current applicable rate will be 24%. For an individual U.K. Holder who is subject to U.K. income tax at the basic rate and liable to U.K. capital gains tax on such disposal, the current applicable rate would be 18%, save to the extent that any capital gains, when aggregated with the U.K. Holder’s other taxable income and gains in the relevant tax year, exceed the unused basic rate tax band. In that case, the rate currently applicable to the excess would be 24%. </w:t>
      </w:r>
    </w:p>
    <w:p>
      <w:pPr>
        <w:pStyle w:val="TextBody"/>
        <w:bidi w:val="0"/>
        <w:spacing w:before="240" w:after="0"/>
        <w:jc w:val="left"/>
        <w:rPr>
          <w:rFonts w:ascii="Times New Roman" w:hAnsi="Times New Roman"/>
          <w:sz w:val="20"/>
        </w:rPr>
      </w:pPr>
      <w:r>
        <w:rPr>
          <w:rFonts w:ascii="Times New Roman" w:hAnsi="Times New Roman"/>
          <w:sz w:val="20"/>
        </w:rPr>
        <w:t xml:space="preserve">If a corporate U.K. Holder becomes liable to U.K. corporation tax on the disposal (or deemed disposal) of ADSs, U.K. corporation tax would apply (at the main rate of 25% for companies with profits in excess of £250,000, or the small profits rate of 19% for companies with profits of £50,000 or less, with marginal relief from the main rate available to companies with profits between £50,000 and £250,000 subject to meeting certain criteria). </w:t>
      </w:r>
    </w:p>
    <w:p>
      <w:pPr>
        <w:pStyle w:val="TextBody"/>
        <w:bidi w:val="0"/>
        <w:spacing w:before="240" w:after="0"/>
        <w:jc w:val="left"/>
        <w:rPr>
          <w:rFonts w:ascii="Times New Roman" w:hAnsi="Times New Roman"/>
          <w:sz w:val="20"/>
        </w:rPr>
      </w:pPr>
      <w:r>
        <w:rPr>
          <w:rFonts w:ascii="Times New Roman" w:hAnsi="Times New Roman"/>
          <w:sz w:val="20"/>
        </w:rPr>
        <w:t xml:space="preserve">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United Kingdom through a branch or agency (or, in the case of a corporate holder of ADSs, through a permanent establishment) to which the ADSs are attributable. However, an individual holder of ADSs who has ceased to be resident for tax purposes in the United Kingdom for a period of less than five years and who disposes of ADSs during that period may be liable on his or her return to the United Kingdom to U.K. tax on any capital gain realized (subject to any available exemption or relief).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Duty and Stamp Duty Reserve Tax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relates to the holders of our ordinary shares or ADSs wherever resident, however it should be noted that special rules may apply to certain persons such as market makers, brokers, dealers or intermediaries. </w:t>
      </w:r>
    </w:p>
    <w:p>
      <w:pPr>
        <w:pStyle w:val="TextBody"/>
        <w:bidi w:val="0"/>
        <w:spacing w:before="360" w:after="0"/>
        <w:jc w:val="left"/>
        <w:rPr>
          <w:rFonts w:ascii="Times New Roman" w:hAnsi="Times New Roman"/>
          <w:i/>
          <w:sz w:val="20"/>
        </w:rPr>
      </w:pPr>
      <w:r>
        <w:rPr>
          <w:rFonts w:ascii="Times New Roman" w:hAnsi="Times New Roman"/>
          <w:i/>
          <w:sz w:val="20"/>
        </w:rPr>
        <w:t xml:space="preserve">Issue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No U.K. stamp duty or stamp duty reserve tax, or SDRT, is payable on the issue of the underlying ordinary shares in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Transfers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An unconditional agreement to transfer ordinary shares in certificated form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canceled or, if already paid, repaid (generally with interest), where a transfer instrument has been duly stamped within six years of the charge arising (either by paying the stamp duty or by claiming an appropriate relief) or if the instrument is otherwise exempt from stamp duty. </w:t>
      </w:r>
    </w:p>
    <w:p>
      <w:pPr>
        <w:pStyle w:val="TextBody"/>
        <w:bidi w:val="0"/>
        <w:spacing w:before="240" w:after="0"/>
        <w:jc w:val="left"/>
        <w:rPr>
          <w:rFonts w:ascii="Times New Roman" w:hAnsi="Times New Roman"/>
          <w:sz w:val="20"/>
        </w:rPr>
      </w:pPr>
      <w:r>
        <w:rPr>
          <w:rFonts w:ascii="Times New Roman" w:hAnsi="Times New Roman"/>
          <w:sz w:val="20"/>
        </w:rPr>
        <w:t xml:space="preserve">An unconditional agreement to transfer ordinary shares to, or to a nominee or agent for, a person whose business is or includes the issue of depositary receipts or the provision of clearance services will generally be subject to SDRT (or, where the transfer is effected by a written instrument, stamp duty) at a higher rate of 1.5% of the amount or value of the consideration given for the transfer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DTC. </w:t>
      </w:r>
    </w:p>
    <w:p>
      <w:pPr>
        <w:pStyle w:val="TextBody"/>
        <w:bidi w:val="0"/>
        <w:spacing w:before="240" w:after="0"/>
        <w:jc w:val="left"/>
        <w:rPr>
          <w:rFonts w:ascii="Times New Roman" w:hAnsi="Times New Roman"/>
          <w:sz w:val="20"/>
        </w:rPr>
      </w:pPr>
      <w:r>
        <w:rPr>
          <w:rFonts w:ascii="Times New Roman" w:hAnsi="Times New Roman"/>
          <w:sz w:val="20"/>
        </w:rPr>
        <w:t xml:space="preserve">However, no stamp duty or SDRT is payable where the transfer of ordinary shares to a clearance service or depositary receipt system satisfies the conditions of an exemption, which will generally be the case if the transfer occurs in the course of qualifying capital-raising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Any stamp duty or SDRT payable on a transfer of ordinary shares to a depositary receipt system or clearance service will in practice generally be paid by the transferors or participants in the clearance service or depositary receipt system. </w:t>
      </w:r>
    </w:p>
    <w:p>
      <w:pPr>
        <w:pStyle w:val="TextBody"/>
        <w:bidi w:val="0"/>
        <w:spacing w:before="360" w:after="0"/>
        <w:jc w:val="left"/>
        <w:rPr>
          <w:rFonts w:ascii="Times New Roman" w:hAnsi="Times New Roman"/>
          <w:i/>
          <w:sz w:val="20"/>
        </w:rPr>
      </w:pPr>
      <w:r>
        <w:rPr>
          <w:rFonts w:ascii="Times New Roman" w:hAnsi="Times New Roman"/>
          <w:i/>
          <w:sz w:val="20"/>
        </w:rPr>
        <w:t xml:space="preserve">Issue of ADSs </w:t>
      </w:r>
    </w:p>
    <w:p>
      <w:pPr>
        <w:pStyle w:val="TextBody"/>
        <w:bidi w:val="0"/>
        <w:spacing w:before="120" w:after="0"/>
        <w:jc w:val="left"/>
        <w:rPr>
          <w:rFonts w:ascii="Times New Roman" w:hAnsi="Times New Roman"/>
          <w:sz w:val="20"/>
        </w:rPr>
      </w:pPr>
      <w:r>
        <w:rPr>
          <w:rFonts w:ascii="Times New Roman" w:hAnsi="Times New Roman"/>
          <w:sz w:val="20"/>
        </w:rPr>
        <w:t xml:space="preserve">No U.K. stamp duty or SDRT is payable on the issue of ADSs in the company. </w:t>
      </w:r>
    </w:p>
    <w:p>
      <w:pPr>
        <w:pStyle w:val="TextBody"/>
        <w:bidi w:val="0"/>
        <w:spacing w:before="360" w:after="0"/>
        <w:jc w:val="left"/>
        <w:rPr>
          <w:rFonts w:ascii="Times New Roman" w:hAnsi="Times New Roman"/>
          <w:i/>
          <w:sz w:val="20"/>
        </w:rPr>
      </w:pPr>
      <w:r>
        <w:rPr>
          <w:rFonts w:ascii="Times New Roman" w:hAnsi="Times New Roman"/>
          <w:i/>
          <w:sz w:val="20"/>
        </w:rPr>
        <w:t xml:space="preserve">Transfers of ADSs </w:t>
      </w:r>
    </w:p>
    <w:p>
      <w:pPr>
        <w:pStyle w:val="TextBody"/>
        <w:bidi w:val="0"/>
        <w:spacing w:before="120" w:after="0"/>
        <w:jc w:val="left"/>
        <w:rPr>
          <w:rFonts w:ascii="Times New Roman" w:hAnsi="Times New Roman"/>
          <w:sz w:val="20"/>
        </w:rPr>
      </w:pPr>
      <w:r>
        <w:rPr>
          <w:rFonts w:ascii="Times New Roman" w:hAnsi="Times New Roman"/>
          <w:sz w:val="20"/>
        </w:rPr>
        <w:t xml:space="preserve">No SDRT should be required to be paid on a paperless transfer of ADSs through the clearance service facilities of DTC, provided that no section 97A election has been made by DTC, and such ADSs are held through DTC at the time of any agreement for their transfer. </w:t>
      </w:r>
    </w:p>
    <w:p>
      <w:pPr>
        <w:pStyle w:val="TextBody"/>
        <w:bidi w:val="0"/>
        <w:spacing w:before="240" w:after="0"/>
        <w:jc w:val="left"/>
        <w:rPr>
          <w:rFonts w:ascii="Times New Roman" w:hAnsi="Times New Roman"/>
          <w:sz w:val="20"/>
        </w:rPr>
      </w:pPr>
      <w:r>
        <w:rPr>
          <w:rFonts w:ascii="Times New Roman" w:hAnsi="Times New Roman"/>
          <w:sz w:val="20"/>
        </w:rPr>
        <w:t xml:space="preserve">No U.K. stamp duty will in practice be payable on a written instrument transferring an ADS provided that the instrument of transfer is executed and remains at all times outside the United Kingdom. Where these conditions are not met, the transfer of, or agreement to transfer, an ADS could, depending on the circumstances, attract a charge to U.K. stamp duty at the rate of 0.5% of the amount or value of the consideration. If it is necessary to pay stamp duty, it may also be necessary to pay interest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12040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our ordinary shares, including ordinary shares in the form of ADSs, being offered by this prospectus and certain other matters of English law will be passed upon for us by Cooley (UK) LLP. </w:t>
      </w:r>
    </w:p>
    <w:p>
      <w:pPr>
        <w:pStyle w:val="TextBody"/>
        <w:bidi w:val="0"/>
        <w:spacing w:before="480" w:after="0"/>
        <w:jc w:val="center"/>
        <w:rPr>
          <w:rFonts w:ascii="Times New Roman" w:hAnsi="Times New Roman"/>
          <w:b/>
          <w:sz w:val="20"/>
        </w:rPr>
      </w:pPr>
      <w:bookmarkStart w:id="13" w:name="tx112040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Autolus Therapeutics plc appearing in Autolus Therapeutics plc’s Annual Report on Form 10-K for the year ended December 31, 2025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business address of Ernst &amp; Young LLP is 1 More London Place, London, SE1 2AF, United Kingdom.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12040_12"/>
      <w:bookmarkEnd w:id="14"/>
      <w:r>
        <w:rPr>
          <w:rFonts w:ascii="Times New Roman" w:hAnsi="Times New Roman"/>
          <w:b/>
          <w:sz w:val="20"/>
        </w:rPr>
        <w:t xml:space="preserve">SERVICE OF PROCESS AND ENFORCEMENT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and currently existing under the laws of England and Wales. In addition, certain of our directors and officers reside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 In addition, uncertainty exists as to whether the courts of England and Wales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us or our directors or officers predicated upon the civil liabilities provisions of the securities laws of the United States or any state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England and Wales against us or our directors or officers predicated upon the securities laws of the United States or any state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Cooley LLP and Cooley (UK)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Cooley LLP and Cooley (UK)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relevant U.S. court had jurisdiction over the original proceedings according to English conflicts of laws principles at the time when proceedings were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claimant commenced proceedings in the courts of England and Wales and we were duly served with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judgment was final and conclusive on the merits in the sense of being final and unalterable in the court that pronounced it and being for a definite sum of money;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judgment given by the courts was not in respect of penalties, taxes, fines or similar fiscal or revenue obligations (or otherwise based on a U.S. law that an English court considers to relate to a penal, revenue or other public law), or for a declaration or injunction;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judgment was not procured by fraud;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recognition or enforcement of the judgment in England and Wales would not be contrary to public policy or the Human Rights Act 1998;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proceedings pursuant to which judgment was obtained were not contrary to natural justice;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not a prior decision of an English court or the court of another jurisdiction on the issues in question between the same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English enforcement proceedings were commenced within the limitation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Whether these requirements are met in respect of a judgment based upon the civil liability provisions of the United States securities laws, including whether the award of monetary damages under such laws would constitute a penalty, is an issue for the court making such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 </w:t>
      </w:r>
    </w:p>
    <w:p>
      <w:pPr>
        <w:pStyle w:val="TextBody"/>
        <w:bidi w:val="0"/>
        <w:spacing w:before="240" w:after="0"/>
        <w:jc w:val="left"/>
        <w:rPr>
          <w:rFonts w:ascii="Times New Roman" w:hAnsi="Times New Roman"/>
          <w:sz w:val="20"/>
        </w:rPr>
      </w:pPr>
      <w:r>
        <w:rPr>
          <w:rFonts w:ascii="Times New Roman" w:hAnsi="Times New Roman"/>
          <w:sz w:val="20"/>
        </w:rPr>
        <w:t xml:space="preserve">If an English court gives judgment for the sum payable under a U.S. judgment, the English judgment will be enforceable by methods generally available for this purpose. These methods generally permit the English court discretion to prescribe the manner of enforcement.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may not be possible to obtain an English judgment or to enforce that judgment if we are or become subject to any insolvency or similar proceedings, or if we have any set-off or counterclaim against the judgment creditor. Also note that, in any enforcement proceedings, we may raise any counterclaim that could have been brought if the action had been originally brought in England unless the subject of the counterclaim was in issue and denied in the U.S.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112040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voluntarily file periodic reports on the forms for U.S. domestic issuers, such as annual reports on Form 10-K, quarterly reports on Form 10-Q and current reports on Form 8-K, which are more detailed and extensive in certain respects, and which must be filed more promptly, than the forms currently available to foreign private issuers. Despite our election to voluntarily file on U.S. domestic issuer forms, we maintain our status as a foreign private issuer, and accordingly we are exempt from, among other things, the rules under the Exchange Act prescribing the furnishing and content of proxy statements and our officers, directors and principal shareholders are exempt from the reporting and short-swing profit recovery provisions contained in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that contains reports and information statements and other information about issuers, such as us, who file electronically with the SEC. The address of that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www.autolus.com through which you can access our SEC filings. The information set forth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112040_14"/>
      <w:bookmarkEnd w:id="16"/>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and any accompanying prospectus supplement the information we have filed with the SEC. Incorporation by reference allows us to disclose important information to you by referring you to those other documents. The information incorporated by reference is an important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May  14, 2026</w:t>
              </w:r>
            </w:hyperlink>
            <w:r>
              <w:rPr>
                <w:rFonts w:ascii="Times New Roman" w:hAnsi="Times New Roman"/>
                <w:sz w:val="20"/>
              </w:rPr>
              <w:t xml:space="preserve"> and </w:t>
            </w:r>
            <w:hyperlink r:id="rId5">
              <w:r>
                <w:rPr>
                  <w:rStyle w:val="InternetLink"/>
                  <w:rFonts w:ascii="Times New Roman" w:hAnsi="Times New Roman"/>
                  <w:sz w:val="20"/>
                </w:rPr>
                <w:t>August 11,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12, 2026</w:t>
              </w:r>
            </w:hyperlink>
            <w:r>
              <w:rPr>
                <w:rFonts w:ascii="Times New Roman" w:hAnsi="Times New Roman"/>
                <w:sz w:val="20"/>
              </w:rPr>
              <w:t xml:space="preserve">, </w:t>
            </w:r>
            <w:hyperlink r:id="rId7">
              <w:r>
                <w:rPr>
                  <w:rStyle w:val="InternetLink"/>
                  <w:rFonts w:ascii="Times New Roman" w:hAnsi="Times New Roman"/>
                  <w:sz w:val="20"/>
                </w:rPr>
                <w:t>January  26, 2026</w:t>
              </w:r>
            </w:hyperlink>
            <w:r>
              <w:rPr>
                <w:rFonts w:ascii="Times New Roman" w:hAnsi="Times New Roman"/>
                <w:sz w:val="20"/>
              </w:rPr>
              <w:t xml:space="preserve">, </w:t>
            </w:r>
            <w:hyperlink r:id="rId8">
              <w:r>
                <w:rPr>
                  <w:rStyle w:val="InternetLink"/>
                  <w:rFonts w:ascii="Times New Roman" w:hAnsi="Times New Roman"/>
                  <w:sz w:val="20"/>
                </w:rPr>
                <w:t>April  16, 2026</w:t>
              </w:r>
            </w:hyperlink>
            <w:r>
              <w:rPr>
                <w:rFonts w:ascii="Times New Roman" w:hAnsi="Times New Roman"/>
                <w:sz w:val="20"/>
              </w:rPr>
              <w:t xml:space="preserve">, </w:t>
            </w:r>
            <w:hyperlink r:id="rId9">
              <w:r>
                <w:rPr>
                  <w:rStyle w:val="InternetLink"/>
                  <w:rFonts w:ascii="Times New Roman" w:hAnsi="Times New Roman"/>
                  <w:sz w:val="20"/>
                </w:rPr>
                <w:t>April  29, 2026</w:t>
              </w:r>
            </w:hyperlink>
            <w:r>
              <w:rPr>
                <w:rFonts w:ascii="Times New Roman" w:hAnsi="Times New Roman"/>
                <w:sz w:val="20"/>
              </w:rPr>
              <w:t xml:space="preserve">, </w:t>
            </w:r>
            <w:hyperlink r:id="rId10">
              <w:r>
                <w:rPr>
                  <w:rStyle w:val="InternetLink"/>
                  <w:rFonts w:ascii="Times New Roman" w:hAnsi="Times New Roman"/>
                  <w:sz w:val="20"/>
                </w:rPr>
                <w:t>June  9, 2026</w:t>
              </w:r>
            </w:hyperlink>
            <w:r>
              <w:rPr>
                <w:rFonts w:ascii="Times New Roman" w:hAnsi="Times New Roman"/>
                <w:sz w:val="20"/>
              </w:rPr>
              <w:t xml:space="preserve">, </w:t>
            </w:r>
            <w:hyperlink r:id="rId11">
              <w:r>
                <w:rPr>
                  <w:rStyle w:val="InternetLink"/>
                  <w:rFonts w:ascii="Times New Roman" w:hAnsi="Times New Roman"/>
                  <w:sz w:val="20"/>
                </w:rPr>
                <w:t>June  29, 2026</w:t>
              </w:r>
            </w:hyperlink>
            <w:r>
              <w:rPr>
                <w:rFonts w:ascii="Times New Roman" w:hAnsi="Times New Roman"/>
                <w:sz w:val="20"/>
              </w:rPr>
              <w:t xml:space="preserve">, </w:t>
            </w:r>
            <w:hyperlink r:id="rId12">
              <w:r>
                <w:rPr>
                  <w:rStyle w:val="InternetLink"/>
                  <w:rFonts w:ascii="Times New Roman" w:hAnsi="Times New Roman"/>
                  <w:sz w:val="20"/>
                </w:rPr>
                <w:t>August  3, 2026</w:t>
              </w:r>
            </w:hyperlink>
            <w:r>
              <w:rPr>
                <w:rFonts w:ascii="Times New Roman" w:hAnsi="Times New Roman"/>
                <w:sz w:val="20"/>
              </w:rPr>
              <w:t xml:space="preserve"> and </w:t>
            </w:r>
            <w:hyperlink r:id="rId13">
              <w:r>
                <w:rPr>
                  <w:rStyle w:val="InternetLink"/>
                  <w:rFonts w:ascii="Times New Roman" w:hAnsi="Times New Roman"/>
                  <w:sz w:val="20"/>
                </w:rPr>
                <w:t>August 3, 2026</w:t>
              </w:r>
            </w:hyperlink>
            <w:r>
              <w:rPr>
                <w:rFonts w:ascii="Times New Roman" w:hAnsi="Times New Roman"/>
                <w:sz w:val="20"/>
              </w:rPr>
              <w:t xml:space="preserve">, solely to the extent the information in such reports has been filed (and not furnished) and incorporated by reference into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ordinary shares and ADSs contained in our Registration Statement on </w:t>
            </w:r>
            <w:hyperlink r:id="rId14">
              <w:r>
                <w:rPr>
                  <w:rStyle w:val="InternetLink"/>
                  <w:rFonts w:ascii="Times New Roman" w:hAnsi="Times New Roman"/>
                  <w:sz w:val="20"/>
                </w:rPr>
                <w:t>Form 8-A</w:t>
              </w:r>
            </w:hyperlink>
            <w:r>
              <w:rPr>
                <w:rFonts w:ascii="Times New Roman" w:hAnsi="Times New Roman"/>
                <w:sz w:val="20"/>
              </w:rPr>
              <w:t xml:space="preserve">, as filed with the SEC under Section 12(b) of the Exchange Act on June 19, 2018, including any amendment or report filed for the purpose of updating such description (File No. 001-38547).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also incorporating by reference all subsequent Annual Reports on Form 10-K, Quarterly Reports on Form 10-Q and certain reports on Form 8-K (other than portions of current reports furnished under Item 2.02 or Item 7.01 of Form 8-K and exhibits filed on such form that are related to such items) that we file with the SEC pursuant to Sections 13(a), 13(c), 14 or 15(d) of the Exchange Act after the date of this prospectus (if they state that they are incorporated by reference into this prospectus) prior to the termination of the offering of securities under the registration statement of which this prospectus forms a part. In all cases, you should rely on the later information over different information included in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120" w:after="0"/>
        <w:jc w:val="center"/>
        <w:rPr>
          <w:rFonts w:ascii="Times New Roman" w:hAnsi="Times New Roman"/>
          <w:sz w:val="20"/>
        </w:rPr>
      </w:pPr>
      <w:r>
        <w:rPr>
          <w:rFonts w:ascii="Times New Roman" w:hAnsi="Times New Roman"/>
          <w:sz w:val="20"/>
        </w:rPr>
        <w:t xml:space="preserve">Autolus Therapeutics plc </w:t>
      </w:r>
    </w:p>
    <w:p>
      <w:pPr>
        <w:pStyle w:val="TextBody"/>
        <w:bidi w:val="0"/>
        <w:spacing w:before="0" w:after="0"/>
        <w:jc w:val="center"/>
        <w:rPr>
          <w:rFonts w:ascii="Times New Roman" w:hAnsi="Times New Roman"/>
          <w:sz w:val="20"/>
        </w:rPr>
      </w:pPr>
      <w:r>
        <w:rPr>
          <w:rFonts w:ascii="Times New Roman" w:hAnsi="Times New Roman"/>
          <w:sz w:val="20"/>
        </w:rPr>
        <w:t xml:space="preserve">The MediaWorks </w:t>
      </w:r>
    </w:p>
    <w:p>
      <w:pPr>
        <w:pStyle w:val="TextBody"/>
        <w:bidi w:val="0"/>
        <w:spacing w:before="0" w:after="0"/>
        <w:jc w:val="center"/>
        <w:rPr>
          <w:rFonts w:ascii="Times New Roman" w:hAnsi="Times New Roman"/>
          <w:sz w:val="20"/>
        </w:rPr>
      </w:pPr>
      <w:r>
        <w:rPr>
          <w:rFonts w:ascii="Times New Roman" w:hAnsi="Times New Roman"/>
          <w:sz w:val="20"/>
        </w:rPr>
        <w:t xml:space="preserve">191 Wood Lane </w:t>
      </w:r>
    </w:p>
    <w:p>
      <w:pPr>
        <w:pStyle w:val="TextBody"/>
        <w:bidi w:val="0"/>
        <w:spacing w:before="0" w:after="0"/>
        <w:jc w:val="center"/>
        <w:rPr>
          <w:rFonts w:ascii="Times New Roman" w:hAnsi="Times New Roman"/>
          <w:sz w:val="20"/>
        </w:rPr>
      </w:pPr>
      <w:r>
        <w:rPr>
          <w:rFonts w:ascii="Times New Roman" w:hAnsi="Times New Roman"/>
          <w:sz w:val="20"/>
        </w:rPr>
        <w:t xml:space="preserve">White City </w:t>
      </w:r>
    </w:p>
    <w:p>
      <w:pPr>
        <w:pStyle w:val="TextBody"/>
        <w:bidi w:val="0"/>
        <w:spacing w:before="0" w:after="0"/>
        <w:jc w:val="center"/>
        <w:rPr>
          <w:rFonts w:ascii="Times New Roman" w:hAnsi="Times New Roman"/>
          <w:sz w:val="20"/>
        </w:rPr>
      </w:pPr>
      <w:r>
        <w:rPr>
          <w:rFonts w:ascii="Times New Roman" w:hAnsi="Times New Roman"/>
          <w:sz w:val="20"/>
        </w:rPr>
        <w:t xml:space="preserve">London W12 7FP </w:t>
      </w:r>
    </w:p>
    <w:p>
      <w:pPr>
        <w:pStyle w:val="TextBody"/>
        <w:bidi w:val="0"/>
        <w:spacing w:before="0" w:after="0"/>
        <w:jc w:val="center"/>
        <w:rPr>
          <w:rFonts w:ascii="Times New Roman" w:hAnsi="Times New Roman"/>
          <w:sz w:val="20"/>
        </w:rPr>
      </w:pPr>
      <w:r>
        <w:rPr>
          <w:rFonts w:ascii="Times New Roman" w:hAnsi="Times New Roman"/>
          <w:sz w:val="20"/>
        </w:rPr>
        <w:t xml:space="preserve">United Kingdom </w:t>
      </w:r>
    </w:p>
    <w:p>
      <w:pPr>
        <w:pStyle w:val="TextBody"/>
        <w:bidi w:val="0"/>
        <w:spacing w:before="0" w:after="0"/>
        <w:jc w:val="center"/>
        <w:rPr>
          <w:rFonts w:ascii="Times New Roman" w:hAnsi="Times New Roman"/>
          <w:sz w:val="20"/>
        </w:rPr>
      </w:pPr>
      <w:r>
        <w:rPr>
          <w:rFonts w:ascii="Times New Roman" w:hAnsi="Times New Roman"/>
          <w:sz w:val="20"/>
        </w:rPr>
        <w:t xml:space="preserve">+44 20 3829 6230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www.autolus.com. The information contained on, or that can be accessed through, our website is not a part of this prospectus.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You should not assume that the information in this prospectus is accurate as of any date other than the date on the front page of this prospectus, regardless of the time of delivery of this prospectus or any sale of the securities offered by this prospectus. 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various expenses to be incurred in connection with the sale and distribution of the securities being registered hereby, all of which will be borne by the registrant (except any underwriting discounts and commissions and expenses incurred by the selling securityholder for brokerage, accounting, tax or legal services or any other expenses incurred by the selling securityholder in disposing of its shares). All amounts shown are estimates except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6"/>
        <w:gridCol w:w="461"/>
        <w:gridCol w:w="141"/>
        <w:gridCol w:w="937"/>
        <w:gridCol w:w="64"/>
      </w:tblGrid>
      <w:tr>
        <w:trPr/>
        <w:tc>
          <w:tcPr>
            <w:tcW w:w="5336"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1,049</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150,000</w:t>
            </w:r>
          </w:p>
        </w:tc>
        <w:tc>
          <w:tcPr>
            <w:tcW w:w="64"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75,000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3,951</w:t>
            </w:r>
          </w:p>
        </w:tc>
        <w:tc>
          <w:tcPr>
            <w:tcW w:w="64"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6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230,000</w:t>
            </w:r>
          </w:p>
        </w:tc>
        <w:tc>
          <w:tcPr>
            <w:tcW w:w="64"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U.K. Companies Act 2006, members of the registrant’s board of directors and its officers have the benefit of the following indemnification provisions in the registrant’s articles of association: </w:t>
      </w:r>
    </w:p>
    <w:p>
      <w:pPr>
        <w:pStyle w:val="TextBody"/>
        <w:bidi w:val="0"/>
        <w:spacing w:before="120" w:after="0"/>
        <w:jc w:val="left"/>
        <w:rPr>
          <w:rFonts w:ascii="Times New Roman" w:hAnsi="Times New Roman"/>
          <w:sz w:val="20"/>
        </w:rPr>
      </w:pPr>
      <w:r>
        <w:rPr>
          <w:rFonts w:ascii="Times New Roman" w:hAnsi="Times New Roman"/>
          <w:sz w:val="20"/>
        </w:rPr>
        <w:t>Current and former members of the registrant’s board of directors or officers shall be indemnified against all relevant loss, including any liability incurred by him in defending any civil or criminal proceedings, in which judgment is given in his favor or in which he is acquitted or the proceedings are otherwise disposed of without any finding or admission of any material breach of duty on his part or in connection with any application in which the court grants him relief from liability for negligence, default, breach of duty or breach of trust in relation to the registrant’s or the group’s affairs. In the case of current or former members of the registrant’s board of directors, in compliance with the U.K Companies Act 2006,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 any criminal proceeding if the member of the registrant’</w:t>
      </w:r>
      <w:r>
        <w:rPr>
          <w:rFonts w:ascii="Times New Roman" w:hAnsi="Times New Roman"/>
          <w:i/>
          <w:sz w:val="20"/>
        </w:rPr>
        <w:t>s</w:t>
      </w:r>
      <w:r>
        <w:rPr>
          <w:rFonts w:ascii="Times New Roman" w:hAnsi="Times New Roman"/>
          <w:sz w:val="20"/>
        </w:rPr>
        <w:t xml:space="preserve">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with this registration statement or are incorporated herein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
        <w:gridCol w:w="295"/>
        <w:gridCol w:w="3735"/>
        <w:gridCol w:w="188"/>
        <w:gridCol w:w="88"/>
        <w:gridCol w:w="1385"/>
        <w:gridCol w:w="60"/>
        <w:gridCol w:w="188"/>
        <w:gridCol w:w="60"/>
        <w:gridCol w:w="1085"/>
        <w:gridCol w:w="60"/>
        <w:gridCol w:w="188"/>
        <w:gridCol w:w="126"/>
        <w:gridCol w:w="947"/>
        <w:gridCol w:w="60"/>
        <w:gridCol w:w="188"/>
        <w:gridCol w:w="60"/>
        <w:gridCol w:w="650"/>
        <w:gridCol w:w="67"/>
      </w:tblGrid>
      <w:tr>
        <w:trPr/>
        <w:tc>
          <w:tcPr>
            <w:tcW w:w="77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7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73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514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7" w:type="dxa"/>
            <w:tcBorders/>
            <w:vAlign w:val="bottom"/>
          </w:tcPr>
          <w:p>
            <w:pPr>
              <w:pStyle w:val="TableContents"/>
              <w:bidi w:val="0"/>
              <w:spacing w:before="0" w:after="283"/>
              <w:jc w:val="left"/>
              <w:rPr/>
            </w:pPr>
            <w:r>
              <w:rPr/>
              <w:t> </w:t>
            </w:r>
          </w:p>
        </w:tc>
      </w:tr>
      <w:tr>
        <w:trPr/>
        <w:tc>
          <w:tcPr>
            <w:tcW w:w="77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EXHIBIT </w:t>
              <w:br/>
              <w:t>NUMBER</w:t>
            </w:r>
          </w:p>
        </w:tc>
        <w:tc>
          <w:tcPr>
            <w:tcW w:w="295" w:type="dxa"/>
            <w:tcBorders/>
            <w:vAlign w:val="bottom"/>
          </w:tcPr>
          <w:p>
            <w:pPr>
              <w:pStyle w:val="TableContents"/>
              <w:bidi w:val="0"/>
              <w:spacing w:before="0" w:after="283"/>
              <w:jc w:val="left"/>
              <w:rPr/>
            </w:pPr>
            <w:r>
              <w:rPr/>
              <w:t>  </w:t>
            </w:r>
          </w:p>
        </w:tc>
        <w:tc>
          <w:tcPr>
            <w:tcW w:w="37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c>
          <w:tcPr>
            <w:tcW w:w="188" w:type="dxa"/>
            <w:tcBorders/>
            <w:vAlign w:val="bottom"/>
          </w:tcPr>
          <w:p>
            <w:pPr>
              <w:pStyle w:val="TableContents"/>
              <w:bidi w:val="0"/>
              <w:spacing w:before="0" w:after="283"/>
              <w:jc w:val="left"/>
              <w:rPr/>
            </w:pPr>
            <w:r>
              <w:rPr/>
              <w:t>  </w:t>
            </w:r>
          </w:p>
        </w:tc>
        <w:tc>
          <w:tcPr>
            <w:tcW w:w="14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DATE</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3.1</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15">
              <w:r>
                <w:rPr>
                  <w:rStyle w:val="InternetLink"/>
                </w:rPr>
                <w:t xml:space="preserve">Articles of Association of Autolus Therapeutics plc.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F-1/A</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333-224720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6/19/18</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4.1</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16">
              <w:r>
                <w:rPr>
                  <w:rStyle w:val="InternetLink"/>
                </w:rPr>
                <w:t>Deposit Agreement by and among the registrant, Citibank, N.A., as the Depositary bank and the holders and beneficial owners of American Depositary Shares issued thereunder.</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20-F</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001-38547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2/25/19</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4.2</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17">
              <w:r>
                <w:rPr>
                  <w:rStyle w:val="InternetLink"/>
                </w:rPr>
                <w:t xml:space="preserve">Form of American Depositary Receipt (included in exhibit 4.1).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20-F</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001-38547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2/25/19</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4.3</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18">
              <w:r>
                <w:rPr>
                  <w:rStyle w:val="InternetLink"/>
                </w:rPr>
                <w:t xml:space="preserve">Registration Rights Agreement by and between the Company and Perceptive, dated as of July 30, 2026.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8- 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001-38547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8/3/26</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4.4</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19">
              <w:r>
                <w:rPr>
                  <w:rStyle w:val="InternetLink"/>
                </w:rPr>
                <w:t xml:space="preserve">Form of Warrant Certificate.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8- 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001-38547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8/3/26</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4.5</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r:id="rId20">
              <w:r>
                <w:rPr>
                  <w:rStyle w:val="InternetLink"/>
                </w:rPr>
                <w:t xml:space="preserve">Note Purchase Agreement and Guaranty, dated July  30, 2026, by and among the Company, as issuer, the guarantors party thereto from time to time, the noteholders party thereto from time to time and Perceptive Credit Holdings V, LP, as the administrative agent for the noteholders.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Form 8-K</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001-38547</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8/3/26</w:t>
            </w:r>
          </w:p>
        </w:tc>
        <w:tc>
          <w:tcPr>
            <w:tcW w:w="67" w:type="dxa"/>
            <w:tcBorders/>
            <w:vAlign w:val="bottom"/>
          </w:tcPr>
          <w:p>
            <w:pPr>
              <w:pStyle w:val="TableContents"/>
              <w:bidi w:val="0"/>
              <w:spacing w:before="0" w:after="283"/>
              <w:jc w:val="left"/>
              <w:rPr/>
            </w:pPr>
            <w:r>
              <w:rPr/>
              <w:t> </w:t>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5.1</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w:anchor="d112040dex51.htm">
              <w:r>
                <w:rPr>
                  <w:rStyle w:val="InternetLink"/>
                </w:rPr>
                <w:t xml:space="preserve">Opinion of Cooley (UK) LLP.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23.1</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w:anchor="d112040dex231.htm">
              <w:r>
                <w:rPr>
                  <w:rStyle w:val="InternetLink"/>
                </w:rPr>
                <w:t xml:space="preserve">Consent of Ernst &amp; Young LLP, independent registered public accounting firm.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23.2</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w:anchor="d112040dex51.htm">
              <w:r>
                <w:rPr>
                  <w:rStyle w:val="InternetLink"/>
                </w:rPr>
                <w:t xml:space="preserve">Consent of Cooley (UK) LLP (included in exhibit 5.1).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24.1</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w:anchor="sig">
              <w:r>
                <w:rPr>
                  <w:rStyle w:val="InternetLink"/>
                </w:rPr>
                <w:t xml:space="preserve">Power of Attorney (included on signature page to registration statement).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75" w:type="dxa"/>
            <w:tcBorders/>
            <w:vAlign w:val="center"/>
          </w:tcPr>
          <w:p>
            <w:pPr>
              <w:pStyle w:val="TableContents"/>
              <w:bidi w:val="0"/>
              <w:spacing w:before="0" w:after="283"/>
              <w:jc w:val="left"/>
              <w:rPr>
                <w:sz w:val="4"/>
                <w:szCs w:val="4"/>
              </w:rPr>
            </w:pPr>
            <w:r>
              <w:rPr>
                <w:sz w:val="4"/>
                <w:szCs w:val="4"/>
              </w:rPr>
            </w:r>
          </w:p>
        </w:tc>
        <w:tc>
          <w:tcPr>
            <w:tcW w:w="4030" w:type="dxa"/>
            <w:gridSpan w:val="2"/>
            <w:tcBorders/>
            <w:vAlign w:val="center"/>
          </w:tcPr>
          <w:p>
            <w:pPr>
              <w:pStyle w:val="TableContents"/>
              <w:bidi w:val="0"/>
              <w:spacing w:before="0" w:after="283"/>
              <w:jc w:val="left"/>
              <w:rPr>
                <w:sz w:val="4"/>
                <w:szCs w:val="4"/>
              </w:rPr>
            </w:pPr>
            <w:r>
              <w:rPr>
                <w:sz w:val="4"/>
                <w:szCs w:val="4"/>
              </w:rPr>
            </w:r>
          </w:p>
        </w:tc>
        <w:tc>
          <w:tcPr>
            <w:tcW w:w="1721" w:type="dxa"/>
            <w:gridSpan w:val="4"/>
            <w:tcBorders/>
            <w:vAlign w:val="center"/>
          </w:tcPr>
          <w:p>
            <w:pPr>
              <w:pStyle w:val="TableContents"/>
              <w:bidi w:val="0"/>
              <w:spacing w:before="0" w:after="283"/>
              <w:jc w:val="left"/>
              <w:rPr>
                <w:sz w:val="4"/>
                <w:szCs w:val="4"/>
              </w:rPr>
            </w:pPr>
            <w:r>
              <w:rPr>
                <w:sz w:val="4"/>
                <w:szCs w:val="4"/>
              </w:rPr>
            </w:r>
          </w:p>
        </w:tc>
        <w:tc>
          <w:tcPr>
            <w:tcW w:w="1393" w:type="dxa"/>
            <w:gridSpan w:val="4"/>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965" w:type="dxa"/>
            <w:gridSpan w:val="4"/>
            <w:tcBorders/>
            <w:vAlign w:val="center"/>
          </w:tcPr>
          <w:p>
            <w:pPr>
              <w:pStyle w:val="TableContents"/>
              <w:bidi w:val="0"/>
              <w:spacing w:before="0" w:after="283"/>
              <w:jc w:val="left"/>
              <w:rPr>
                <w:sz w:val="4"/>
                <w:szCs w:val="4"/>
              </w:rPr>
            </w:pPr>
            <w:r>
              <w:rPr>
                <w:sz w:val="4"/>
                <w:szCs w:val="4"/>
              </w:rPr>
            </w:r>
          </w:p>
        </w:tc>
      </w:tr>
      <w:tr>
        <w:trPr/>
        <w:tc>
          <w:tcPr>
            <w:tcW w:w="775" w:type="dxa"/>
            <w:tcBorders/>
          </w:tcPr>
          <w:p>
            <w:pPr>
              <w:pStyle w:val="TableContents"/>
              <w:bidi w:val="0"/>
              <w:spacing w:before="0" w:after="283"/>
              <w:jc w:val="left"/>
              <w:rPr/>
            </w:pPr>
            <w:r>
              <w:rPr/>
              <w:t> </w:t>
            </w:r>
            <w:r>
              <w:rPr/>
              <w:t>107</w:t>
            </w:r>
          </w:p>
        </w:tc>
        <w:tc>
          <w:tcPr>
            <w:tcW w:w="295" w:type="dxa"/>
            <w:tcBorders/>
            <w:vAlign w:val="bottom"/>
          </w:tcPr>
          <w:p>
            <w:pPr>
              <w:pStyle w:val="TableContents"/>
              <w:bidi w:val="0"/>
              <w:spacing w:before="0" w:after="283"/>
              <w:jc w:val="left"/>
              <w:rPr/>
            </w:pPr>
            <w:r>
              <w:rPr/>
              <w:t>  </w:t>
            </w:r>
          </w:p>
        </w:tc>
        <w:tc>
          <w:tcPr>
            <w:tcW w:w="3735" w:type="dxa"/>
            <w:tcBorders/>
          </w:tcPr>
          <w:p>
            <w:pPr>
              <w:pStyle w:val="TableContents"/>
              <w:bidi w:val="0"/>
              <w:spacing w:before="0" w:after="283"/>
              <w:jc w:val="left"/>
              <w:rPr/>
            </w:pPr>
            <w:hyperlink w:anchor="d112040dexfilingfees.htm">
              <w:r>
                <w:rPr>
                  <w:rStyle w:val="InternetLink"/>
                </w:rPr>
                <w:t xml:space="preserve">Filing Fee Table </w:t>
              </w:r>
            </w:hyperlink>
          </w:p>
        </w:tc>
        <w:tc>
          <w:tcPr>
            <w:tcW w:w="1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sz w:val="4"/>
                <w:szCs w:val="4"/>
              </w:rPr>
            </w:pPr>
            <w:r>
              <w:rPr>
                <w:sz w:val="4"/>
                <w:szCs w:val="4"/>
              </w:rPr>
            </w:r>
          </w:p>
        </w:tc>
        <w:tc>
          <w:tcPr>
            <w:tcW w:w="13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in the effective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sig"/>
      <w:bookmarkEnd w:id="17"/>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London, United Kingdom, on September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THERAPEUTICS PLC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Christian Itin,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Christian Itin,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We, the undersigned officers and directors of Autolus Therapeutics plc, hereby severally constitute and appoint Christian Itin and Alex Driggs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to file or cause to be filed the same, with all exhibits thereto and other documents in connection therewith, with the Securities and Exchange Commission, and generally to do all such things in our name and on our behalf in our capacities as officers and directors to enable Autolus Therapeutics plc to comply with the provisions of the Securities Act of 1933, as amended, and all requirements of the Securities and Exchange Commission, hereby ratifying and confirming all that said attorneys, and each of them, or their substitute or substitutes, shall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28"/>
        <w:gridCol w:w="120"/>
        <w:gridCol w:w="3440"/>
        <w:gridCol w:w="195"/>
        <w:gridCol w:w="2022"/>
      </w:tblGrid>
      <w:tr>
        <w:trPr/>
        <w:tc>
          <w:tcPr>
            <w:tcW w:w="442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4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c>
          <w:tcPr>
            <w:tcW w:w="4428"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440" w:type="dxa"/>
            <w:tcBorders/>
            <w:vAlign w:val="bottom"/>
          </w:tcPr>
          <w:p>
            <w:pPr>
              <w:pStyle w:val="TableContents"/>
              <w:bidi w:val="0"/>
              <w:spacing w:before="0" w:after="283"/>
              <w:jc w:val="center"/>
              <w:rPr>
                <w:b/>
              </w:rPr>
            </w:pPr>
            <w:r>
              <w:rPr>
                <w:b/>
              </w:rPr>
              <w:t>TITLE</w:t>
            </w:r>
          </w:p>
        </w:tc>
        <w:tc>
          <w:tcPr>
            <w:tcW w:w="195" w:type="dxa"/>
            <w:tcBorders/>
            <w:vAlign w:val="bottom"/>
          </w:tcPr>
          <w:p>
            <w:pPr>
              <w:pStyle w:val="TableContents"/>
              <w:bidi w:val="0"/>
              <w:spacing w:before="0" w:after="283"/>
              <w:jc w:val="left"/>
              <w:rPr/>
            </w:pPr>
            <w:r>
              <w:rPr/>
              <w:t> </w:t>
            </w:r>
          </w:p>
        </w:tc>
        <w:tc>
          <w:tcPr>
            <w:tcW w:w="2022" w:type="dxa"/>
            <w:tcBorders/>
            <w:vAlign w:val="bottom"/>
          </w:tcPr>
          <w:p>
            <w:pPr>
              <w:pStyle w:val="TableContents"/>
              <w:bidi w:val="0"/>
              <w:spacing w:before="0" w:after="283"/>
              <w:jc w:val="center"/>
              <w:rPr>
                <w:b/>
              </w:rPr>
            </w:pPr>
            <w:r>
              <w:rPr>
                <w:b/>
              </w:rPr>
              <w:t>DATE</w:t>
            </w:r>
          </w:p>
        </w:tc>
      </w:tr>
      <w:tr>
        <w:trPr>
          <w:trHeight w:val="195"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Christian Itin, Ph.D.</w:t>
            </w:r>
          </w:p>
          <w:p>
            <w:pPr>
              <w:pStyle w:val="TableContents"/>
              <w:bidi w:val="0"/>
              <w:spacing w:before="0" w:after="20"/>
              <w:jc w:val="left"/>
              <w:rPr>
                <w:rFonts w:ascii="Times New Roman" w:hAnsi="Times New Roman"/>
                <w:sz w:val="20"/>
              </w:rPr>
            </w:pPr>
            <w:r>
              <w:rPr>
                <w:rFonts w:ascii="Times New Roman" w:hAnsi="Times New Roman"/>
                <w:sz w:val="20"/>
              </w:rPr>
              <w:t>Christian Itin, Ph.D.</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 xml:space="preserve">Chief Executive Officer and Director </w:t>
            </w:r>
            <w:r>
              <w:rPr>
                <w:i/>
              </w:rPr>
              <w:t>(Principal Executive Officer)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Dolski</w:t>
            </w:r>
          </w:p>
          <w:p>
            <w:pPr>
              <w:pStyle w:val="TableContents"/>
              <w:bidi w:val="0"/>
              <w:spacing w:before="0" w:after="20"/>
              <w:jc w:val="left"/>
              <w:rPr>
                <w:rFonts w:ascii="Times New Roman" w:hAnsi="Times New Roman"/>
                <w:sz w:val="20"/>
              </w:rPr>
            </w:pPr>
            <w:r>
              <w:rPr>
                <w:rFonts w:ascii="Times New Roman" w:hAnsi="Times New Roman"/>
                <w:sz w:val="20"/>
              </w:rPr>
              <w:t>Robert Dolski</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 xml:space="preserve">Chief Financial Officer </w:t>
            </w:r>
            <w:r>
              <w:rPr>
                <w:i/>
              </w:rPr>
              <w:t>(Principal Financial Officer)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Patrick McIlvenny</w:t>
            </w:r>
          </w:p>
          <w:p>
            <w:pPr>
              <w:pStyle w:val="TableContents"/>
              <w:bidi w:val="0"/>
              <w:spacing w:before="0" w:after="20"/>
              <w:jc w:val="left"/>
              <w:rPr>
                <w:rFonts w:ascii="Times New Roman" w:hAnsi="Times New Roman"/>
                <w:sz w:val="20"/>
              </w:rPr>
            </w:pPr>
            <w:r>
              <w:rPr>
                <w:rFonts w:ascii="Times New Roman" w:hAnsi="Times New Roman"/>
                <w:sz w:val="20"/>
              </w:rPr>
              <w:t>Patrick McIlvenny</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 xml:space="preserve">Senior Vice President, Finance and Chief Accounting Officer </w:t>
            </w:r>
            <w:r>
              <w:rPr>
                <w:i/>
              </w:rPr>
              <w:t>(Principal Accounting Officer)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Bonney</w:t>
            </w:r>
          </w:p>
          <w:p>
            <w:pPr>
              <w:pStyle w:val="TableContents"/>
              <w:bidi w:val="0"/>
              <w:spacing w:before="0" w:after="20"/>
              <w:jc w:val="left"/>
              <w:rPr>
                <w:rFonts w:ascii="Times New Roman" w:hAnsi="Times New Roman"/>
                <w:sz w:val="20"/>
              </w:rPr>
            </w:pPr>
            <w:r>
              <w:rPr>
                <w:rFonts w:ascii="Times New Roman" w:hAnsi="Times New Roman"/>
                <w:sz w:val="20"/>
              </w:rPr>
              <w:t>Michael Bonney</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Chairman of the Board of Directors</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Ryan Richardson</w:t>
            </w:r>
          </w:p>
          <w:p>
            <w:pPr>
              <w:pStyle w:val="TableContents"/>
              <w:bidi w:val="0"/>
              <w:spacing w:before="0" w:after="20"/>
              <w:jc w:val="left"/>
              <w:rPr>
                <w:rFonts w:ascii="Times New Roman" w:hAnsi="Times New Roman"/>
                <w:sz w:val="20"/>
              </w:rPr>
            </w:pPr>
            <w:r>
              <w:rPr>
                <w:rFonts w:ascii="Times New Roman" w:hAnsi="Times New Roman"/>
                <w:sz w:val="20"/>
              </w:rPr>
              <w:t>Ryan Richardson</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Director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Azelby</w:t>
            </w:r>
          </w:p>
          <w:p>
            <w:pPr>
              <w:pStyle w:val="TableContents"/>
              <w:bidi w:val="0"/>
              <w:spacing w:before="0" w:after="20"/>
              <w:jc w:val="left"/>
              <w:rPr>
                <w:rFonts w:ascii="Times New Roman" w:hAnsi="Times New Roman"/>
                <w:sz w:val="20"/>
              </w:rPr>
            </w:pPr>
            <w:r>
              <w:rPr>
                <w:rFonts w:ascii="Times New Roman" w:hAnsi="Times New Roman"/>
                <w:sz w:val="20"/>
              </w:rPr>
              <w:t>Robert Azelby</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Director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r>
        <w:trPr>
          <w:trHeight w:val="240" w:hRule="atLeast"/>
        </w:trPr>
        <w:tc>
          <w:tcPr>
            <w:tcW w:w="4428"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c>
          <w:tcPr>
            <w:tcW w:w="2217" w:type="dxa"/>
            <w:gridSpan w:val="2"/>
            <w:tcBorders/>
            <w:vAlign w:val="center"/>
          </w:tcPr>
          <w:p>
            <w:pPr>
              <w:pStyle w:val="TableContents"/>
              <w:bidi w:val="0"/>
              <w:spacing w:before="0" w:after="283"/>
              <w:jc w:val="left"/>
              <w:rPr>
                <w:sz w:val="4"/>
                <w:szCs w:val="4"/>
              </w:rPr>
            </w:pPr>
            <w:r>
              <w:rPr>
                <w:sz w:val="4"/>
                <w:szCs w:val="4"/>
              </w:rPr>
            </w:r>
          </w:p>
        </w:tc>
      </w:tr>
      <w:tr>
        <w:trPr/>
        <w:tc>
          <w:tcPr>
            <w:tcW w:w="442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Linda Bain</w:t>
            </w:r>
          </w:p>
          <w:p>
            <w:pPr>
              <w:pStyle w:val="TableContents"/>
              <w:bidi w:val="0"/>
              <w:spacing w:before="0" w:after="20"/>
              <w:jc w:val="left"/>
              <w:rPr>
                <w:rFonts w:ascii="Times New Roman" w:hAnsi="Times New Roman"/>
                <w:sz w:val="20"/>
              </w:rPr>
            </w:pPr>
            <w:r>
              <w:rPr>
                <w:rFonts w:ascii="Times New Roman" w:hAnsi="Times New Roman"/>
                <w:sz w:val="20"/>
              </w:rPr>
              <w:t>Linda Bain</w:t>
            </w:r>
          </w:p>
        </w:tc>
        <w:tc>
          <w:tcPr>
            <w:tcW w:w="120" w:type="dxa"/>
            <w:tcBorders/>
            <w:vAlign w:val="bottom"/>
          </w:tcPr>
          <w:p>
            <w:pPr>
              <w:pStyle w:val="TableContents"/>
              <w:bidi w:val="0"/>
              <w:spacing w:before="0" w:after="283"/>
              <w:jc w:val="left"/>
              <w:rPr/>
            </w:pPr>
            <w:r>
              <w:rPr/>
              <w:t>  </w:t>
            </w:r>
          </w:p>
        </w:tc>
        <w:tc>
          <w:tcPr>
            <w:tcW w:w="3440" w:type="dxa"/>
            <w:tcBorders/>
          </w:tcPr>
          <w:p>
            <w:pPr>
              <w:pStyle w:val="TableContents"/>
              <w:bidi w:val="0"/>
              <w:spacing w:before="0" w:after="283"/>
              <w:jc w:val="left"/>
              <w:rPr/>
            </w:pPr>
            <w:r>
              <w:rPr/>
              <w:t>Director</w:t>
            </w:r>
          </w:p>
        </w:tc>
        <w:tc>
          <w:tcPr>
            <w:tcW w:w="195"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pPr>
            <w:r>
              <w:rPr/>
              <w:t>September 11,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66"/>
        <w:gridCol w:w="120"/>
        <w:gridCol w:w="3387"/>
        <w:gridCol w:w="196"/>
        <w:gridCol w:w="2036"/>
      </w:tblGrid>
      <w:tr>
        <w:trPr/>
        <w:tc>
          <w:tcPr>
            <w:tcW w:w="44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r>
      <w:tr>
        <w:trPr/>
        <w:tc>
          <w:tcPr>
            <w:tcW w:w="4466"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387" w:type="dxa"/>
            <w:tcBorders/>
            <w:vAlign w:val="bottom"/>
          </w:tcPr>
          <w:p>
            <w:pPr>
              <w:pStyle w:val="TableContents"/>
              <w:bidi w:val="0"/>
              <w:spacing w:before="0" w:after="283"/>
              <w:jc w:val="center"/>
              <w:rPr>
                <w:b/>
              </w:rPr>
            </w:pPr>
            <w:r>
              <w:rPr>
                <w:b/>
              </w:rPr>
              <w:t>TITLE</w:t>
            </w:r>
          </w:p>
        </w:tc>
        <w:tc>
          <w:tcPr>
            <w:tcW w:w="196" w:type="dxa"/>
            <w:tcBorders/>
            <w:vAlign w:val="bottom"/>
          </w:tcPr>
          <w:p>
            <w:pPr>
              <w:pStyle w:val="TableContents"/>
              <w:bidi w:val="0"/>
              <w:spacing w:before="0" w:after="283"/>
              <w:jc w:val="left"/>
              <w:rPr/>
            </w:pPr>
            <w:r>
              <w:rPr/>
              <w:t> </w:t>
            </w:r>
          </w:p>
        </w:tc>
        <w:tc>
          <w:tcPr>
            <w:tcW w:w="2036" w:type="dxa"/>
            <w:tcBorders/>
            <w:vAlign w:val="bottom"/>
          </w:tcPr>
          <w:p>
            <w:pPr>
              <w:pStyle w:val="TableContents"/>
              <w:bidi w:val="0"/>
              <w:spacing w:before="0" w:after="283"/>
              <w:jc w:val="center"/>
              <w:rPr>
                <w:b/>
              </w:rPr>
            </w:pPr>
            <w:r>
              <w:rPr>
                <w:b/>
              </w:rPr>
              <w:t>DATE</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bidi w:val="0"/>
              <w:spacing w:before="0" w:after="0"/>
              <w:jc w:val="left"/>
              <w:rPr/>
            </w:pPr>
            <w:r>
              <w:rPr/>
              <w:t> </w:t>
            </w:r>
          </w:p>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Cynthia Butitta</w:t>
            </w:r>
          </w:p>
          <w:p>
            <w:pPr>
              <w:pStyle w:val="TableContents"/>
              <w:bidi w:val="0"/>
              <w:spacing w:before="0" w:after="20"/>
              <w:jc w:val="left"/>
              <w:rPr>
                <w:rFonts w:ascii="Times New Roman" w:hAnsi="Times New Roman"/>
                <w:sz w:val="20"/>
              </w:rPr>
            </w:pPr>
            <w:r>
              <w:rPr>
                <w:rFonts w:ascii="Times New Roman" w:hAnsi="Times New Roman"/>
                <w:sz w:val="20"/>
              </w:rPr>
              <w:t>Cynthia Butitta</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September 11,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Robert Iannone, M.D., M.S.C.E</w:t>
            </w:r>
          </w:p>
          <w:p>
            <w:pPr>
              <w:pStyle w:val="TableContents"/>
              <w:bidi w:val="0"/>
              <w:spacing w:before="0" w:after="20"/>
              <w:jc w:val="left"/>
              <w:rPr>
                <w:rFonts w:ascii="Times New Roman" w:hAnsi="Times New Roman"/>
                <w:sz w:val="20"/>
              </w:rPr>
            </w:pPr>
            <w:r>
              <w:rPr>
                <w:rFonts w:ascii="Times New Roman" w:hAnsi="Times New Roman"/>
                <w:sz w:val="20"/>
              </w:rPr>
              <w:t>Robert Iannone, M.D., M.S.C.E</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left"/>
              <w:rPr/>
            </w:pPr>
            <w:r>
              <w:rPr/>
              <w:t>September 11,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Elisabeth Leiderman, M.D.</w:t>
            </w:r>
          </w:p>
          <w:p>
            <w:pPr>
              <w:pStyle w:val="TableContents"/>
              <w:bidi w:val="0"/>
              <w:spacing w:before="0" w:after="20"/>
              <w:jc w:val="left"/>
              <w:rPr>
                <w:rFonts w:ascii="Times New Roman" w:hAnsi="Times New Roman"/>
                <w:sz w:val="20"/>
              </w:rPr>
            </w:pPr>
            <w:r>
              <w:rPr>
                <w:rFonts w:ascii="Times New Roman" w:hAnsi="Times New Roman"/>
                <w:sz w:val="20"/>
              </w:rPr>
              <w:t>Elisabeth Leiderman, M.D.</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left"/>
              <w:rPr/>
            </w:pPr>
            <w:r>
              <w:rPr/>
              <w:t>September 11,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Ravi Rao, M.D.</w:t>
            </w:r>
          </w:p>
          <w:p>
            <w:pPr>
              <w:pStyle w:val="TableContents"/>
              <w:bidi w:val="0"/>
              <w:spacing w:before="0" w:after="20"/>
              <w:jc w:val="left"/>
              <w:rPr>
                <w:rFonts w:ascii="Times New Roman" w:hAnsi="Times New Roman"/>
                <w:sz w:val="20"/>
              </w:rPr>
            </w:pPr>
            <w:r>
              <w:rPr>
                <w:rFonts w:ascii="Times New Roman" w:hAnsi="Times New Roman"/>
                <w:sz w:val="20"/>
              </w:rPr>
              <w:t>Ravi Rao, M.D.</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left"/>
              <w:rPr/>
            </w:pPr>
            <w:r>
              <w:rPr/>
              <w:t>September 11, 2026</w:t>
            </w:r>
          </w:p>
        </w:tc>
      </w:tr>
      <w:tr>
        <w:trPr>
          <w:trHeight w:val="240" w:hRule="atLeast"/>
        </w:trPr>
        <w:tc>
          <w:tcPr>
            <w:tcW w:w="4466" w:type="dxa"/>
            <w:tcBorders/>
            <w:vAlign w:val="center"/>
          </w:tcPr>
          <w:p>
            <w:pPr>
              <w:pStyle w:val="TableContents"/>
              <w:bidi w:val="0"/>
              <w:spacing w:before="0" w:after="283"/>
              <w:jc w:val="left"/>
              <w:rPr>
                <w:sz w:val="4"/>
                <w:szCs w:val="4"/>
              </w:rPr>
            </w:pPr>
            <w:r>
              <w:rPr>
                <w:sz w:val="4"/>
                <w:szCs w:val="4"/>
              </w:rPr>
            </w:r>
          </w:p>
        </w:tc>
        <w:tc>
          <w:tcPr>
            <w:tcW w:w="3507" w:type="dxa"/>
            <w:gridSpan w:val="2"/>
            <w:tcBorders/>
            <w:vAlign w:val="center"/>
          </w:tcPr>
          <w:p>
            <w:pPr>
              <w:pStyle w:val="TableContents"/>
              <w:bidi w:val="0"/>
              <w:spacing w:before="0" w:after="283"/>
              <w:jc w:val="left"/>
              <w:rPr>
                <w:sz w:val="4"/>
                <w:szCs w:val="4"/>
              </w:rPr>
            </w:pPr>
            <w:r>
              <w:rPr>
                <w:sz w:val="4"/>
                <w:szCs w:val="4"/>
              </w:rPr>
            </w:r>
          </w:p>
        </w:tc>
        <w:tc>
          <w:tcPr>
            <w:tcW w:w="2232" w:type="dxa"/>
            <w:gridSpan w:val="2"/>
            <w:tcBorders/>
            <w:vAlign w:val="center"/>
          </w:tcPr>
          <w:p>
            <w:pPr>
              <w:pStyle w:val="TableContents"/>
              <w:bidi w:val="0"/>
              <w:spacing w:before="0" w:after="283"/>
              <w:jc w:val="left"/>
              <w:rPr>
                <w:sz w:val="4"/>
                <w:szCs w:val="4"/>
              </w:rPr>
            </w:pPr>
            <w:r>
              <w:rPr>
                <w:sz w:val="4"/>
                <w:szCs w:val="4"/>
              </w:rPr>
            </w:r>
          </w:p>
        </w:tc>
      </w:tr>
      <w:tr>
        <w:trPr/>
        <w:tc>
          <w:tcPr>
            <w:tcW w:w="446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D. Young</w:t>
            </w:r>
          </w:p>
          <w:p>
            <w:pPr>
              <w:pStyle w:val="TableContents"/>
              <w:bidi w:val="0"/>
              <w:spacing w:before="0" w:after="20"/>
              <w:jc w:val="left"/>
              <w:rPr>
                <w:rFonts w:ascii="Times New Roman" w:hAnsi="Times New Roman"/>
                <w:sz w:val="20"/>
              </w:rPr>
            </w:pPr>
            <w:r>
              <w:rPr>
                <w:rFonts w:ascii="Times New Roman" w:hAnsi="Times New Roman"/>
                <w:sz w:val="20"/>
              </w:rPr>
              <w:t>William D. Young</w:t>
            </w:r>
          </w:p>
        </w:tc>
        <w:tc>
          <w:tcPr>
            <w:tcW w:w="120" w:type="dxa"/>
            <w:tcBorders/>
            <w:vAlign w:val="bottom"/>
          </w:tcPr>
          <w:p>
            <w:pPr>
              <w:pStyle w:val="TableContents"/>
              <w:bidi w:val="0"/>
              <w:spacing w:before="0" w:after="283"/>
              <w:jc w:val="left"/>
              <w:rPr/>
            </w:pPr>
            <w:r>
              <w:rPr/>
              <w:t>  </w:t>
            </w:r>
          </w:p>
        </w:tc>
        <w:tc>
          <w:tcPr>
            <w:tcW w:w="3387" w:type="dxa"/>
            <w:tcBorders/>
          </w:tcPr>
          <w:p>
            <w:pPr>
              <w:pStyle w:val="TableContents"/>
              <w:bidi w:val="0"/>
              <w:spacing w:before="0" w:after="283"/>
              <w:jc w:val="left"/>
              <w:rPr/>
            </w:pPr>
            <w:r>
              <w:rPr/>
              <w:t>Director</w:t>
            </w:r>
          </w:p>
        </w:tc>
        <w:tc>
          <w:tcPr>
            <w:tcW w:w="196" w:type="dxa"/>
            <w:tcBorders/>
            <w:vAlign w:val="bottom"/>
          </w:tcPr>
          <w:p>
            <w:pPr>
              <w:pStyle w:val="TableContents"/>
              <w:bidi w:val="0"/>
              <w:spacing w:before="0" w:after="283"/>
              <w:jc w:val="left"/>
              <w:rPr/>
            </w:pPr>
            <w:r>
              <w:rPr/>
              <w:t> </w:t>
            </w:r>
          </w:p>
        </w:tc>
        <w:tc>
          <w:tcPr>
            <w:tcW w:w="2036" w:type="dxa"/>
            <w:tcBorders/>
          </w:tcPr>
          <w:p>
            <w:pPr>
              <w:pStyle w:val="TableContents"/>
              <w:bidi w:val="0"/>
              <w:spacing w:before="0" w:after="283"/>
              <w:jc w:val="left"/>
              <w:rPr/>
            </w:pPr>
            <w:r>
              <w:rPr/>
              <w:t>September 11,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 OF AUTHORIZED U.S.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Securities Act of 1933, the undersigned, the duly authorized representative in the United States of Autolus Therapeutics plc has signed this registration statement or amendment thereto on September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AUTOLUS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Christian Itin, Ph.D.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Christian Itin, Ph.D.</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8" w:name="d112040dex51.htm"/>
      <w:bookmarkStart w:id="19" w:name="ksd112040dex51"/>
      <w:bookmarkEnd w:id="18"/>
      <w:bookmarkEnd w:id="19"/>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295400" cy="4953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Claire Keast-Butler </w:t>
      </w:r>
    </w:p>
    <w:p>
      <w:pPr>
        <w:pStyle w:val="TextBody"/>
        <w:bidi w:val="0"/>
        <w:spacing w:before="0" w:after="0"/>
        <w:jc w:val="right"/>
        <w:rPr>
          <w:rFonts w:ascii="Times New Roman" w:hAnsi="Times New Roman"/>
          <w:sz w:val="20"/>
        </w:rPr>
      </w:pPr>
      <w:r>
        <w:rPr>
          <w:rFonts w:ascii="Times New Roman" w:hAnsi="Times New Roman"/>
          <w:sz w:val="20"/>
        </w:rPr>
        <w:t xml:space="preserve">+44 (0) 20 7556 4211 </w:t>
      </w:r>
    </w:p>
    <w:p>
      <w:pPr>
        <w:pStyle w:val="TextBody"/>
        <w:bidi w:val="0"/>
        <w:spacing w:before="0" w:after="0"/>
        <w:jc w:val="right"/>
        <w:rPr>
          <w:rFonts w:ascii="Times New Roman" w:hAnsi="Times New Roman"/>
          <w:sz w:val="20"/>
        </w:rPr>
      </w:pPr>
      <w:r>
        <w:rPr>
          <w:rFonts w:ascii="Times New Roman" w:hAnsi="Times New Roman"/>
          <w:sz w:val="20"/>
        </w:rPr>
        <w:t xml:space="preserve">ckeastbutler@cooley.com </w:t>
      </w:r>
    </w:p>
    <w:p>
      <w:pPr>
        <w:pStyle w:val="TextBody"/>
        <w:bidi w:val="0"/>
        <w:spacing w:before="240" w:after="0"/>
        <w:jc w:val="left"/>
        <w:rPr>
          <w:rFonts w:ascii="Times New Roman" w:hAnsi="Times New Roman"/>
          <w:sz w:val="20"/>
        </w:rPr>
      </w:pPr>
      <w:r>
        <w:rPr>
          <w:rFonts w:ascii="Times New Roman" w:hAnsi="Times New Roman"/>
          <w:sz w:val="20"/>
        </w:rPr>
        <w:t xml:space="preserve">Autolus Therapeutics plc </w:t>
      </w:r>
    </w:p>
    <w:p>
      <w:pPr>
        <w:pStyle w:val="TextBody"/>
        <w:bidi w:val="0"/>
        <w:spacing w:before="0" w:after="0"/>
        <w:jc w:val="left"/>
        <w:rPr>
          <w:rFonts w:ascii="Times New Roman" w:hAnsi="Times New Roman"/>
          <w:sz w:val="20"/>
        </w:rPr>
      </w:pPr>
      <w:r>
        <w:rPr>
          <w:rFonts w:ascii="Times New Roman" w:hAnsi="Times New Roman"/>
          <w:sz w:val="20"/>
        </w:rPr>
        <w:t xml:space="preserve">The Mediaworks </w:t>
      </w:r>
    </w:p>
    <w:p>
      <w:pPr>
        <w:pStyle w:val="TextBody"/>
        <w:bidi w:val="0"/>
        <w:spacing w:before="0" w:after="0"/>
        <w:jc w:val="left"/>
        <w:rPr>
          <w:rFonts w:ascii="Times New Roman" w:hAnsi="Times New Roman"/>
          <w:sz w:val="20"/>
        </w:rPr>
      </w:pPr>
      <w:r>
        <w:rPr>
          <w:rFonts w:ascii="Times New Roman" w:hAnsi="Times New Roman"/>
          <w:sz w:val="20"/>
        </w:rPr>
        <w:t xml:space="preserve">191 Wood Lane </w:t>
      </w:r>
    </w:p>
    <w:p>
      <w:pPr>
        <w:pStyle w:val="TextBody"/>
        <w:bidi w:val="0"/>
        <w:spacing w:before="0" w:after="0"/>
        <w:jc w:val="left"/>
        <w:rPr>
          <w:rFonts w:ascii="Times New Roman" w:hAnsi="Times New Roman"/>
          <w:sz w:val="20"/>
        </w:rPr>
      </w:pPr>
      <w:r>
        <w:rPr>
          <w:rFonts w:ascii="Times New Roman" w:hAnsi="Times New Roman"/>
          <w:sz w:val="20"/>
        </w:rPr>
        <w:t xml:space="preserve">London W12 7FP </w:t>
      </w:r>
    </w:p>
    <w:p>
      <w:pPr>
        <w:pStyle w:val="TextBody"/>
        <w:bidi w:val="0"/>
        <w:spacing w:before="0" w:after="0"/>
        <w:jc w:val="left"/>
        <w:rPr>
          <w:rFonts w:ascii="Times New Roman" w:hAnsi="Times New Roman"/>
          <w:sz w:val="20"/>
        </w:rPr>
      </w:pPr>
      <w:r>
        <w:rPr>
          <w:rFonts w:ascii="Times New Roman" w:hAnsi="Times New Roman"/>
          <w:sz w:val="20"/>
        </w:rPr>
        <w:t xml:space="preserve">United Kingdom </w:t>
      </w:r>
    </w:p>
    <w:p>
      <w:pPr>
        <w:pStyle w:val="TextBody"/>
        <w:bidi w:val="0"/>
        <w:spacing w:before="240" w:after="0"/>
        <w:jc w:val="left"/>
        <w:rPr>
          <w:rFonts w:ascii="Times New Roman" w:hAnsi="Times New Roman"/>
          <w:sz w:val="20"/>
        </w:rPr>
      </w:pPr>
      <w:r>
        <w:rPr>
          <w:rFonts w:ascii="Times New Roman" w:hAnsi="Times New Roman"/>
          <w:sz w:val="20"/>
        </w:rPr>
        <w:t xml:space="preserve">11 September 2026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Autolus Therapeutics plc — Registration Statement on Form S-3 — Exhibit 5.1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We have acted as English legal advisers to Autolus Therapeutics plc, a public limited company incorporated in England and Wales (the “</w:t>
            </w:r>
            <w:r>
              <w:rPr>
                <w:rFonts w:ascii="Times New Roman" w:hAnsi="Times New Roman"/>
                <w:b/>
                <w:sz w:val="20"/>
              </w:rPr>
              <w:t>Company</w:t>
            </w:r>
            <w:r>
              <w:rPr>
                <w:rFonts w:ascii="Times New Roman" w:hAnsi="Times New Roman"/>
                <w:sz w:val="20"/>
              </w:rPr>
              <w:t>”), in connection with the preparation and filing on the date hereof with the U.S. Securities and Exchange Commission (the “</w:t>
            </w:r>
            <w:r>
              <w:rPr>
                <w:rFonts w:ascii="Times New Roman" w:hAnsi="Times New Roman"/>
                <w:b/>
                <w:sz w:val="20"/>
              </w:rPr>
              <w:t>SEC</w:t>
            </w:r>
            <w:r>
              <w:rPr>
                <w:rFonts w:ascii="Times New Roman" w:hAnsi="Times New Roman"/>
                <w:sz w:val="20"/>
              </w:rPr>
              <w:t>”) of a registration statement on Form S-3 (the “</w:t>
            </w:r>
            <w:r>
              <w:rPr>
                <w:rFonts w:ascii="Times New Roman" w:hAnsi="Times New Roman"/>
                <w:b/>
                <w:sz w:val="20"/>
              </w:rPr>
              <w:t>Registration Statement</w:t>
            </w:r>
            <w:r>
              <w:rPr>
                <w:rFonts w:ascii="Times New Roman" w:hAnsi="Times New Roman"/>
                <w:sz w:val="20"/>
              </w:rPr>
              <w:t>”), pursuant to the U.S. Securities Act of 1933, as amended (the “</w:t>
            </w:r>
            <w:r>
              <w:rPr>
                <w:rFonts w:ascii="Times New Roman" w:hAnsi="Times New Roman"/>
                <w:b/>
                <w:sz w:val="20"/>
              </w:rPr>
              <w:t>Securities Act</w:t>
            </w:r>
            <w:r>
              <w:rPr>
                <w:rFonts w:ascii="Times New Roman" w:hAnsi="Times New Roman"/>
                <w:sz w:val="20"/>
              </w:rPr>
              <w:t xml:space="preserve">”). We have taken instructions solely from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Registration Statement relates to the resale by Perceptive Credit Holdings V, LP (“</w:t>
            </w:r>
            <w:r>
              <w:rPr>
                <w:rFonts w:ascii="Times New Roman" w:hAnsi="Times New Roman"/>
                <w:b/>
                <w:sz w:val="20"/>
              </w:rPr>
              <w:t>Perceptive</w:t>
            </w:r>
            <w:r>
              <w:rPr>
                <w:rFonts w:ascii="Times New Roman" w:hAnsi="Times New Roman"/>
                <w:sz w:val="20"/>
              </w:rPr>
              <w:t>”) of up to 3,500,000 American Depositary Shares (“</w:t>
            </w:r>
            <w:r>
              <w:rPr>
                <w:rFonts w:ascii="Times New Roman" w:hAnsi="Times New Roman"/>
                <w:b/>
                <w:sz w:val="20"/>
              </w:rPr>
              <w:t>ADSs</w:t>
            </w:r>
            <w:r>
              <w:rPr>
                <w:rFonts w:ascii="Times New Roman" w:hAnsi="Times New Roman"/>
                <w:sz w:val="20"/>
              </w:rPr>
              <w:t>”, and such ADSs the “</w:t>
            </w:r>
            <w:r>
              <w:rPr>
                <w:rFonts w:ascii="Times New Roman" w:hAnsi="Times New Roman"/>
                <w:b/>
                <w:sz w:val="20"/>
              </w:rPr>
              <w:t>Warrant ADSs</w:t>
            </w:r>
            <w:r>
              <w:rPr>
                <w:rFonts w:ascii="Times New Roman" w:hAnsi="Times New Roman"/>
                <w:sz w:val="20"/>
              </w:rPr>
              <w:t>”) representing up to 3,500,000 ordinary shares with a nominal value of $0.000042 each in the capital of the Company (“</w:t>
            </w:r>
            <w:r>
              <w:rPr>
                <w:rFonts w:ascii="Times New Roman" w:hAnsi="Times New Roman"/>
                <w:b/>
                <w:sz w:val="20"/>
              </w:rPr>
              <w:t>Ordinary Shares</w:t>
            </w:r>
            <w:r>
              <w:rPr>
                <w:rFonts w:ascii="Times New Roman" w:hAnsi="Times New Roman"/>
                <w:sz w:val="20"/>
              </w:rPr>
              <w:t>”, and such Ordinary Shares the “</w:t>
            </w:r>
            <w:r>
              <w:rPr>
                <w:rFonts w:ascii="Times New Roman" w:hAnsi="Times New Roman"/>
                <w:b/>
                <w:sz w:val="20"/>
              </w:rPr>
              <w:t>Warrant Ordinary Shares</w:t>
            </w:r>
            <w:r>
              <w:rPr>
                <w:rFonts w:ascii="Times New Roman" w:hAnsi="Times New Roman"/>
                <w:sz w:val="20"/>
              </w:rPr>
              <w:t>”) that are issuable upon the exercise of warrants for the purchase of such Warrant ADSs (the “</w:t>
            </w:r>
            <w:r>
              <w:rPr>
                <w:rFonts w:ascii="Times New Roman" w:hAnsi="Times New Roman"/>
                <w:b/>
                <w:sz w:val="20"/>
              </w:rPr>
              <w:t>Warrants</w:t>
            </w:r>
            <w:r>
              <w:rPr>
                <w:rFonts w:ascii="Times New Roman" w:hAnsi="Times New Roman"/>
                <w:sz w:val="20"/>
              </w:rPr>
              <w:t xml:space="preserve">”) pursuant to the Warrant Certificate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rendering this letter at the request of the Company in connection with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defined in this letter, capitalised terms used have the respective meanings given to them in the Registration Statement and headings are for ease of reference only and shall not affect interpretation.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references to legislation in this letter are to the legislation of England unless the contrary is indicated, and any reference to any provision of any legislation shall include any amendment, modification, re-enactment or extension thereof, as in force on the date of this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DOCUMENTS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issuing this letter, we have reviewed the following documents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PDF copy of the Registration Statement to be filed by the Company with the SEC on 11 September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PDF copy of the executed New York law governed warrant certificate of the Company relating to the issue of the Warrants entitling Perceptive to purchase the Warrant ADSs dated 30 July 2026 (the “</w:t>
            </w:r>
            <w:r>
              <w:rPr>
                <w:rFonts w:ascii="Times New Roman" w:hAnsi="Times New Roman"/>
                <w:b/>
                <w:sz w:val="20"/>
              </w:rPr>
              <w:t>Warrant Certificate</w:t>
            </w:r>
            <w:r>
              <w:rPr>
                <w:rFonts w:ascii="Times New Roman" w:hAnsi="Times New Roman"/>
                <w:sz w:val="20"/>
              </w:rPr>
              <w:t xml:space="preserve">”); and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Cooley (UK) LLP 22 Bishopsgate London EC2N 4BQ UK </w:t>
      </w:r>
    </w:p>
    <w:p>
      <w:pPr>
        <w:pStyle w:val="TextBody"/>
        <w:bidi w:val="0"/>
        <w:spacing w:before="0" w:after="0"/>
        <w:jc w:val="center"/>
        <w:rPr>
          <w:rFonts w:ascii="Times New Roman" w:hAnsi="Times New Roman"/>
          <w:sz w:val="20"/>
        </w:rPr>
      </w:pPr>
      <w:r>
        <w:rPr>
          <w:rFonts w:ascii="Times New Roman" w:hAnsi="Times New Roman"/>
          <w:sz w:val="20"/>
        </w:rPr>
        <w:t xml:space="preserve">t: +44 (0) 20 7583 4055 f: +44 (0) 20 7785 9355 cooley.com </w:t>
      </w:r>
    </w:p>
    <w:p>
      <w:pPr>
        <w:pStyle w:val="TextBody"/>
        <w:bidi w:val="0"/>
        <w:spacing w:before="120" w:after="0"/>
        <w:jc w:val="center"/>
        <w:rPr>
          <w:rFonts w:ascii="Times New Roman" w:hAnsi="Times New Roman"/>
          <w:sz w:val="20"/>
        </w:rPr>
      </w:pPr>
      <w:r>
        <w:rPr>
          <w:rFonts w:ascii="Times New Roman" w:hAnsi="Times New Roman"/>
          <w:sz w:val="20"/>
        </w:rPr>
        <w:t xml:space="preserve">Cooley (UK) LLP is a limited liability partnership and is registered in England and Wales with registered number OC395270. Our registered office is at the address above. </w:t>
      </w:r>
    </w:p>
    <w:p>
      <w:pPr>
        <w:pStyle w:val="TextBody"/>
        <w:bidi w:val="0"/>
        <w:spacing w:before="0" w:after="0"/>
        <w:jc w:val="center"/>
        <w:rPr>
          <w:rFonts w:ascii="Times New Roman" w:hAnsi="Times New Roman"/>
          <w:sz w:val="20"/>
        </w:rPr>
      </w:pPr>
      <w:r>
        <w:rPr>
          <w:rFonts w:ascii="Times New Roman" w:hAnsi="Times New Roman"/>
          <w:sz w:val="20"/>
        </w:rPr>
        <w:t xml:space="preserve">Cooley (UK) LLP is authorised and regulated by the Solicitors Regulation Authority (SRA number 617791). A list of the members of Cooley (UK) LLP and their professional qualifications is open to inspection at its registered office. The word ‘partner,’ used in relation to Cooley (UK) LLP, refers to a member of Cooley (UK) LLP or an employee or consultant of Cooley (UK) LLP (or any affiliated firm) of equivalent standing.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certificate dated 11 September 2026 (the “</w:t>
            </w:r>
            <w:r>
              <w:rPr>
                <w:rFonts w:ascii="Times New Roman" w:hAnsi="Times New Roman"/>
                <w:b/>
                <w:sz w:val="20"/>
              </w:rPr>
              <w:t>Secretary</w:t>
            </w:r>
            <w:r>
              <w:rPr>
                <w:rFonts w:ascii="Times New Roman" w:hAnsi="Times New Roman"/>
                <w:sz w:val="20"/>
              </w:rPr>
              <w:t>’</w:t>
            </w:r>
            <w:r>
              <w:rPr>
                <w:rFonts w:ascii="Times New Roman" w:hAnsi="Times New Roman"/>
                <w:b/>
                <w:sz w:val="20"/>
              </w:rPr>
              <w:t>s Certificate</w:t>
            </w:r>
            <w:r>
              <w:rPr>
                <w:rFonts w:ascii="Times New Roman" w:hAnsi="Times New Roman"/>
                <w:sz w:val="20"/>
              </w:rPr>
              <w:t>”) signed by the Company’s company secretary (the “</w:t>
            </w:r>
            <w:r>
              <w:rPr>
                <w:rFonts w:ascii="Times New Roman" w:hAnsi="Times New Roman"/>
                <w:b/>
                <w:sz w:val="20"/>
              </w:rPr>
              <w:t>Company Secretary</w:t>
            </w:r>
            <w:r>
              <w:rPr>
                <w:rFonts w:ascii="Times New Roman" w:hAnsi="Times New Roman"/>
                <w:sz w:val="20"/>
              </w:rPr>
              <w:t xml:space="preserve">”) relating to certain factual matters as at the date of the Secretary’s Certificate and having annexed thereto copies (certified by the Company Secretary as being true, complete, accurate and up-to-date in each case) of the following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 PDF copy of the articles of association of the Company adopted on 26 June 2018 (the “</w:t>
            </w:r>
            <w:r>
              <w:rPr>
                <w:rFonts w:ascii="Times New Roman" w:hAnsi="Times New Roman"/>
                <w:b/>
                <w:sz w:val="20"/>
              </w:rPr>
              <w:t>Articles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PDF copies of the certificate of incorporation of the Company dated 2 February 2018 and the certificate of incorporation on re-registration of the Company as a public company dated 18 June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 PDF copy of the executed minutes of a meeting of the board of directors of the Company (the “</w:t>
            </w:r>
            <w:r>
              <w:rPr>
                <w:rFonts w:ascii="Times New Roman" w:hAnsi="Times New Roman"/>
                <w:b/>
                <w:sz w:val="20"/>
              </w:rPr>
              <w:t>Board</w:t>
            </w:r>
            <w:r>
              <w:rPr>
                <w:rFonts w:ascii="Times New Roman" w:hAnsi="Times New Roman"/>
                <w:sz w:val="20"/>
              </w:rPr>
              <w:t>” or the “</w:t>
            </w:r>
            <w:r>
              <w:rPr>
                <w:rFonts w:ascii="Times New Roman" w:hAnsi="Times New Roman"/>
                <w:b/>
                <w:sz w:val="20"/>
              </w:rPr>
              <w:t>Directors</w:t>
            </w:r>
            <w:r>
              <w:rPr>
                <w:rFonts w:ascii="Times New Roman" w:hAnsi="Times New Roman"/>
                <w:sz w:val="20"/>
              </w:rPr>
              <w:t xml:space="preserve">”) held on 27 July 2026 at which it was resolved to, </w:t>
            </w:r>
            <w:r>
              <w:rPr>
                <w:rFonts w:ascii="Times New Roman" w:hAnsi="Times New Roman"/>
                <w:i/>
                <w:sz w:val="20"/>
              </w:rPr>
              <w:t>inter alia</w:t>
            </w:r>
            <w:r>
              <w:rPr>
                <w:rFonts w:ascii="Times New Roman" w:hAnsi="Times New Roman"/>
                <w:sz w:val="20"/>
              </w:rPr>
              <w:t>, (i) approve the Company’s entry into the Warrant Certificate, (ii) approve the issue of the Warrants to Perceptive; (iii) approve, upon Perceptive’s exercise of the Warrants, the allotment and issue of the Warrant Ordinary Shares to Citibank N.A. (as depositary) for delivery of the Warrant ADSs to Perceptive and (iv) proceed with preparation and filing with the SEC of a registration statement for the purpose of registering the Warrant ADSs and providing for the resale of the Warrant ADSs by Perceptive upon its exercise of the Warrants (the “</w:t>
            </w:r>
            <w:r>
              <w:rPr>
                <w:rFonts w:ascii="Times New Roman" w:hAnsi="Times New Roman"/>
                <w:b/>
                <w:sz w:val="20"/>
              </w:rPr>
              <w:t>Board Minutes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a PDF copy of an executed extract of the resolutions passed at the annual general meeting of the Company held on 28 June 2024 (the “</w:t>
            </w:r>
            <w:r>
              <w:rPr>
                <w:rFonts w:ascii="Times New Roman" w:hAnsi="Times New Roman"/>
                <w:b/>
                <w:sz w:val="20"/>
              </w:rPr>
              <w:t>2024 AGM</w:t>
            </w:r>
            <w:r>
              <w:rPr>
                <w:rFonts w:ascii="Times New Roman" w:hAnsi="Times New Roman"/>
                <w:sz w:val="20"/>
              </w:rPr>
              <w:t xml:space="preserve">”) at which it was resolved, </w:t>
            </w:r>
            <w:r>
              <w:rPr>
                <w:rFonts w:ascii="Times New Roman" w:hAnsi="Times New Roman"/>
                <w:i/>
                <w:sz w:val="20"/>
              </w:rPr>
              <w:t>inter alia</w:t>
            </w:r>
            <w:r>
              <w:rPr>
                <w:rFonts w:ascii="Times New Roman" w:hAnsi="Times New Roman"/>
                <w:sz w:val="20"/>
              </w:rPr>
              <w:t>, to (i) authorise the Board for the purposes of section 551 of the Companies Act 2006, as amended (the “</w:t>
            </w:r>
            <w:r>
              <w:rPr>
                <w:rFonts w:ascii="Times New Roman" w:hAnsi="Times New Roman"/>
                <w:b/>
                <w:sz w:val="20"/>
              </w:rPr>
              <w:t>Companies Act</w:t>
            </w:r>
            <w:r>
              <w:rPr>
                <w:rFonts w:ascii="Times New Roman" w:hAnsi="Times New Roman"/>
                <w:sz w:val="20"/>
              </w:rPr>
              <w:t>”) to allot shares or grant rights to subscribe for, or convert any security into, shares of the Company up to a maximum aggregate nominal amount of $8,400 and (ii) empower the Board to allot equity securities for cash up to a maximum aggregate nominal amount of $8,400 as if section 561(1) of the Companies Act did not apply to the allotment (the “</w:t>
            </w:r>
            <w:r>
              <w:rPr>
                <w:rFonts w:ascii="Times New Roman" w:hAnsi="Times New Roman"/>
                <w:b/>
                <w:sz w:val="20"/>
              </w:rPr>
              <w:t>Shareholder Resolutions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SEARCHES </w:t>
            </w:r>
          </w:p>
        </w:tc>
      </w:tr>
    </w:tbl>
    <w:p>
      <w:pPr>
        <w:pStyle w:val="TextBody"/>
        <w:bidi w:val="0"/>
        <w:spacing w:before="120" w:after="0"/>
        <w:jc w:val="left"/>
        <w:rPr>
          <w:rFonts w:ascii="Times New Roman" w:hAnsi="Times New Roman"/>
          <w:sz w:val="20"/>
        </w:rPr>
      </w:pPr>
      <w:r>
        <w:rPr>
          <w:rFonts w:ascii="Times New Roman" w:hAnsi="Times New Roman"/>
          <w:sz w:val="20"/>
        </w:rPr>
        <w:t>In addition to examining the documents referred to in paragraph 2 (</w:t>
      </w:r>
      <w:r>
        <w:rPr>
          <w:rFonts w:ascii="Times New Roman" w:hAnsi="Times New Roman"/>
          <w:i/>
          <w:sz w:val="20"/>
        </w:rPr>
        <w:t>Documents</w:t>
      </w:r>
      <w:r>
        <w:rPr>
          <w:rFonts w:ascii="Times New Roman" w:hAnsi="Times New Roman"/>
          <w:sz w:val="20"/>
        </w:rPr>
        <w:t xml:space="preserve">), we have carried out the following searches only: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an online search at Companies House in England and Wales (“</w:t>
            </w:r>
            <w:r>
              <w:rPr>
                <w:rFonts w:ascii="Times New Roman" w:hAnsi="Times New Roman"/>
                <w:b/>
                <w:sz w:val="20"/>
              </w:rPr>
              <w:t>Companies House</w:t>
            </w:r>
            <w:r>
              <w:rPr>
                <w:rFonts w:ascii="Times New Roman" w:hAnsi="Times New Roman"/>
                <w:sz w:val="20"/>
              </w:rPr>
              <w:t>”) with respect to the Company, carried out at 8.58 a.m. (London time) on 11 September 2026 (the “</w:t>
            </w:r>
            <w:r>
              <w:rPr>
                <w:rFonts w:ascii="Times New Roman" w:hAnsi="Times New Roman"/>
                <w:b/>
                <w:sz w:val="20"/>
              </w:rPr>
              <w:t>Companies House Search</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an online enquiry of the Central Registry of Winding-up Petitions at the Insolvency and Companies List in England and Wales (the “</w:t>
            </w:r>
            <w:r>
              <w:rPr>
                <w:rFonts w:ascii="Times New Roman" w:hAnsi="Times New Roman"/>
                <w:b/>
                <w:sz w:val="20"/>
              </w:rPr>
              <w:t>Central Registry</w:t>
            </w:r>
            <w:r>
              <w:rPr>
                <w:rFonts w:ascii="Times New Roman" w:hAnsi="Times New Roman"/>
                <w:sz w:val="20"/>
              </w:rPr>
              <w:t>”) with respect to the Company, carried out at 10.00 a.m. (London time) on 11 September 2026 (the “</w:t>
            </w:r>
            <w:r>
              <w:rPr>
                <w:rFonts w:ascii="Times New Roman" w:hAnsi="Times New Roman"/>
                <w:b/>
                <w:sz w:val="20"/>
              </w:rPr>
              <w:t>Central Registry Enquiry</w:t>
            </w:r>
            <w:r>
              <w:rPr>
                <w:rFonts w:ascii="Times New Roman" w:hAnsi="Times New Roman"/>
                <w:sz w:val="20"/>
              </w:rPr>
              <w:t>” and, together with the Companies House Search, the “</w:t>
            </w:r>
            <w:r>
              <w:rPr>
                <w:rFonts w:ascii="Times New Roman" w:hAnsi="Times New Roman"/>
                <w:b/>
                <w:sz w:val="20"/>
              </w:rPr>
              <w:t>Searches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OPINIONS </w:t>
            </w:r>
          </w:p>
        </w:tc>
      </w:tr>
    </w:tbl>
    <w:p>
      <w:pPr>
        <w:pStyle w:val="TextBody"/>
        <w:bidi w:val="0"/>
        <w:spacing w:before="120" w:after="0"/>
        <w:jc w:val="left"/>
        <w:rPr>
          <w:rFonts w:ascii="Times New Roman" w:hAnsi="Times New Roman"/>
          <w:sz w:val="20"/>
        </w:rPr>
      </w:pPr>
      <w:r>
        <w:rPr>
          <w:rFonts w:ascii="Times New Roman" w:hAnsi="Times New Roman"/>
          <w:sz w:val="20"/>
        </w:rPr>
        <w:t>Subject to the assumptions set out in paragraph 5 (</w:t>
      </w:r>
      <w:r>
        <w:rPr>
          <w:rFonts w:ascii="Times New Roman" w:hAnsi="Times New Roman"/>
          <w:i/>
          <w:sz w:val="20"/>
        </w:rPr>
        <w:t>Assumptions</w:t>
      </w:r>
      <w:r>
        <w:rPr>
          <w:rFonts w:ascii="Times New Roman" w:hAnsi="Times New Roman"/>
          <w:sz w:val="20"/>
        </w:rPr>
        <w:t>), the scope of the opinions set out in paragraph 6 (</w:t>
      </w:r>
      <w:r>
        <w:rPr>
          <w:rFonts w:ascii="Times New Roman" w:hAnsi="Times New Roman"/>
          <w:i/>
          <w:sz w:val="20"/>
        </w:rPr>
        <w:t>Scope of Opinions</w:t>
      </w:r>
      <w:r>
        <w:rPr>
          <w:rFonts w:ascii="Times New Roman" w:hAnsi="Times New Roman"/>
          <w:sz w:val="20"/>
        </w:rPr>
        <w:t>) and the reservations set out in paragraph 7 (</w:t>
      </w:r>
      <w:r>
        <w:rPr>
          <w:rFonts w:ascii="Times New Roman" w:hAnsi="Times New Roman"/>
          <w:i/>
          <w:sz w:val="20"/>
        </w:rPr>
        <w:t>Reservations</w:t>
      </w:r>
      <w:r>
        <w:rPr>
          <w:rFonts w:ascii="Times New Roman" w:hAnsi="Times New Roman"/>
          <w:sz w:val="20"/>
        </w:rPr>
        <w:t xml:space="preserve">), we are of the opinion that as at the date of this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and is existing as a public company with limited liability under English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Searches gave no indication that any winding-up, dissolution or administration order or appointment of a receiver, administrator, administrative receiver or similar officer has been made with respect to the Company, or that any petition for the winding-up of the Company has been presented.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Three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Ordinary Shares issuable upon exercise of any Warrants in accordance with the terms of the Warrant Certificate will be validly issued, fully paid or credited as fully paid, and will not be subject to any call for payment of further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ASSUMPTIONS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giving the opinions in this letter, we have assumed (without making enquiry or investigation)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signatures, stamps and seals on all documents are genuine. All original documents are complete, authentic and up-to-date, and all documents submitted to us as a copy (whether by email or otherwise) are complete and accurate and conform to the original documents of which they are copies and that no amendments (whether oral, in writing or by conduct of the parties) have been made to any of the documents since they were examined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document has been examined by us in draft or specimen form, it will be or has been duly executed in the form of that draft or specimen;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individuals who signs as, or otherwise claims to be, an officer of the Company is the individual whom they claim to be and holds the office that they claim to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 document is required to be delivered, each party to it has delivered the same without it being subject to any escrow or similar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forms and notices which should have been delivered to Companies House in respect of the Company have been and will be so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information revealed by the Searches is true, accurate, complete and up-to-date in all respects, and there is no information which should have been disclosed by the Searches that has not been disclosed for any reason and there has been no alteration in the status or condition of the Company since the date and time that the Searches were made, and that the results of the Searches will remain true, complete, accurate and up-to-date as at each date on which the Company allots or issues Warrant Ordinary Shares (each, a “</w:t>
            </w:r>
            <w:r>
              <w:rPr>
                <w:rFonts w:ascii="Times New Roman" w:hAnsi="Times New Roman"/>
                <w:b/>
                <w:sz w:val="20"/>
              </w:rPr>
              <w:t>Bring-Down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notice has been received by the Company which could lead to the Company being struck off the register of companies under section 1000 of the Companies Act and no such notice shall have been received as at each Bring-Down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Articles remain in full force and effect and no alteration has been made or will be made to the Articles as at the date of this letter and as at each Bring-Down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the obligations of the Company under the Warrant Certificate may be dependent upon such matters, each of the parties to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duly organised, validly existing and in good standing (where such concept is legally relevant) under the laws of its jurisdiction of incorporation;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compliance, generally, with all applicable laws, rules and regulations to which it is subject, its constitutional documents and any judicial or administrative judgements, awards, injunctions or orders binding upon it or its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the capacity, power and authority to execute, deliver and perform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duly qualified to engage in the activities contemplated by the Warrant Certificate and will not be in breach of any of its respective obligations under any document, contract, instrument or agreement as a result of its entry into and performance of its obligations under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authorised under all applicable laws of its jurisdiction and domicile to submit to the jurisdiction of the relevant courts or arbitral tribunal specified in the Warrant Certificate and has validly submitted to such jurisdiction; and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Four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validly authorised, executed and delivered all relevant documents,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that each of the foregoing remains the case as at each Bring-Down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5.10</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Certificate (and any other documents referred to therein) constitutes legal, valid and binding obligations of each of the parties thereto enforceable under all applicable laws, and that the Warrant Certificate will remain in full force and effect at each Bring-Down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5.11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Certificate remains accurate and complete and has not been amended, modified, terminated or otherwise discharged as at the date of this letter, and at each Bring-Down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9"/>
        <w:gridCol w:w="9756"/>
      </w:tblGrid>
      <w:tr>
        <w:trPr/>
        <w:tc>
          <w:tcPr>
            <w:tcW w:w="449" w:type="dxa"/>
            <w:tcBorders/>
          </w:tcPr>
          <w:p>
            <w:pPr>
              <w:pStyle w:val="TableContents"/>
              <w:bidi w:val="0"/>
              <w:spacing w:before="0" w:after="283"/>
              <w:jc w:val="left"/>
              <w:rPr/>
            </w:pPr>
            <w:r>
              <w:rPr/>
              <w:t>5.12</w:t>
            </w:r>
          </w:p>
        </w:tc>
        <w:tc>
          <w:tcPr>
            <w:tcW w:w="97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an absence of fraud or mutual mistake of fact or law or any other arrangements, agreements, understandings or course of conduct or prior or subsequent dealings amending, rescinding or modifying or suspending any of the terms of the Warrant Certificate or which would result in the inclusion of additional terms therein, and that the parties have acted in accordance with the terms of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5.13</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relation to the Warrant Certificate and the transactions contemplated thereby, the Directors have acted and will act in the manner required by section 172 of the Companies Act and that the issue of the Warrants has been made, and the allotment and issue of the Warrant Ordinary Shares will be made, in good faith and on bona fide commercial terms and on arms’ length terms and for the purposes of carrying on the business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5.14</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is, and the Company and each party to the Warrant Certificate will at all relevant times remain, in compliance with all applicable anti-corruption, anti-money laundering, anti-terrorism, sanctions and human rights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5.15</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become effective under the Securities Act and such effectiveness shall not have been terminated or rescinded prior to each Bring-Down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5.16</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sz w:val="20"/>
              </w:rPr>
              <w:t>the Board Minutes referred to in paragraph 2.3 (</w:t>
            </w:r>
            <w:r>
              <w:rPr>
                <w:rFonts w:ascii="Times New Roman" w:hAnsi="Times New Roman"/>
                <w:i/>
                <w:sz w:val="20"/>
              </w:rPr>
              <w:t>Documents</w:t>
            </w:r>
            <w:r>
              <w:rPr>
                <w:rFonts w:ascii="Times New Roman" w:hAnsi="Times New Roman"/>
                <w:sz w:val="20"/>
              </w:rPr>
              <w:t xml:space="preserve">) are a true record of the proceedings described therein, and that the meeting recorded in such minutes was duly conducted as described therein, duly constituted and convened and all constitutional, statutory and other formalities were duly observed (including, if applicable, those relating to the declaration of Directors’ interests or the power of interested Directors to vote), a quorum was present throughout, the requisite majority of Directors voted in favour of approving the resolutions and the resolutions passed at that meeting of the Board were duly adopted, have not been revoked or varied and remain in full force and effect as at the date of this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
        <w:gridCol w:w="9741"/>
      </w:tblGrid>
      <w:tr>
        <w:trPr/>
        <w:tc>
          <w:tcPr>
            <w:tcW w:w="464" w:type="dxa"/>
            <w:tcBorders/>
          </w:tcPr>
          <w:p>
            <w:pPr>
              <w:pStyle w:val="TableContents"/>
              <w:bidi w:val="0"/>
              <w:spacing w:before="0" w:after="283"/>
              <w:jc w:val="left"/>
              <w:rPr/>
            </w:pPr>
            <w:r>
              <w:rPr/>
              <w:t>5.17</w:t>
            </w:r>
          </w:p>
        </w:tc>
        <w:tc>
          <w:tcPr>
            <w:tcW w:w="974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2024 AGM was duly convened and held on 28 June 2024, and at the 2024 AGM all constitutional, statutory and other formalities were duly observed, a quorum of shareholders was present throughout and the relevant Shareholder Resolutions were duly passed and have not been revoked or varied and remain in full force and effect, and that all filings required to be made with Companies House in connection therewith have been made within the relevant time limits;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5.18</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to subscribe for Warrant Ordinary Shares pursuant to the Warrants were granted, and the Warrant Ordinary Shares will be allotted and issued, pursuant to the authority and power granted to the Directors pursuant to section 551 and section 570 of the Companies Act, respectively and as applicable, under the Shareholder Resolutions free of the restrictions in section 561 of the Companies Act and that authority and that power remained unutilised to a sufficient extent to enable the issue of the Warrants and the grant of rights to subscribe for the Warrant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5.19</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issue of Warrant Ordinary Shares shall have been duly approved by the Board in accordance with the Articles and the requirements of all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9"/>
        <w:gridCol w:w="9746"/>
      </w:tblGrid>
      <w:tr>
        <w:trPr/>
        <w:tc>
          <w:tcPr>
            <w:tcW w:w="459" w:type="dxa"/>
            <w:tcBorders/>
          </w:tcPr>
          <w:p>
            <w:pPr>
              <w:pStyle w:val="TableContents"/>
              <w:bidi w:val="0"/>
              <w:spacing w:before="0" w:after="283"/>
              <w:jc w:val="left"/>
              <w:rPr/>
            </w:pPr>
            <w:r>
              <w:rPr/>
              <w:t>5.20</w:t>
            </w:r>
          </w:p>
        </w:tc>
        <w:tc>
          <w:tcPr>
            <w:tcW w:w="97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Ordinary Shares will be duly allotted, and all Warrants have been duly issued by the Board in accordance with the Articles and the requirements of all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pPr>
            <w:r>
              <w:rPr/>
              <w:t>5.21</w:t>
            </w:r>
          </w:p>
        </w:tc>
        <w:tc>
          <w:tcPr>
            <w:tcW w:w="976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Warrant Ordinary Shares are or shall be committed to be allotted and issued, at a discount to their nominal value (whether in dollars or equivalent in any other currency) and no Warrants have been issued with an exercise price of less than the nominal value per Ordinary Share, as applicable;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Five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pPr>
            <w:r>
              <w:rPr/>
              <w:t>5.22</w:t>
            </w:r>
          </w:p>
        </w:tc>
        <w:tc>
          <w:tcPr>
            <w:tcW w:w="97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relevant time of each allotment and issue of the Warrant Ordinary Shares, the Company shall have received in full payment for such shares in an amount of “cash consideration” (as defined in section 583(3) of the Companies Act) equal to the aggregate subscription price for such shares, such amount not being less than the aggregate nominal value for such shares, by virtue of the payment of the exercise price for the Warrants in accordance with the Warrant Certificate or where the Warrants are exercised by way of “cashless exercise” by the withholding of an appropriate number of Warrant ADSs in accordance with the terms of the Warrant Certificate and the holder having paid the nominal value for the Warrant Ordinary Shares to the Company in accordance with the terms of the Warrant Certificate, and the Company shall have entered the holder or holders thereof in the register of members of the Company showing that all such shares have been fully paid up as to their nominal value and any premium thereon as at the date of each such allotment;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
        <w:gridCol w:w="9751"/>
      </w:tblGrid>
      <w:tr>
        <w:trPr/>
        <w:tc>
          <w:tcPr>
            <w:tcW w:w="454" w:type="dxa"/>
            <w:tcBorders/>
          </w:tcPr>
          <w:p>
            <w:pPr>
              <w:pStyle w:val="TableContents"/>
              <w:bidi w:val="0"/>
              <w:spacing w:before="0" w:after="283"/>
              <w:jc w:val="left"/>
              <w:rPr/>
            </w:pPr>
            <w:r>
              <w:rPr/>
              <w:t>5.23</w:t>
            </w:r>
          </w:p>
        </w:tc>
        <w:tc>
          <w:tcPr>
            <w:tcW w:w="97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convert or exchange any Warrants into, or to subscribe for, Warrant Ordinary Shares will be exercised, and Warrant Ordinary Shares to be which holders of any Warrants are entitled thereupon will be allotted and issued, in accordance with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6"/>
        <w:gridCol w:w="9739"/>
      </w:tblGrid>
      <w:tr>
        <w:trPr/>
        <w:tc>
          <w:tcPr>
            <w:tcW w:w="466" w:type="dxa"/>
            <w:tcBorders/>
          </w:tcPr>
          <w:p>
            <w:pPr>
              <w:pStyle w:val="TableContents"/>
              <w:bidi w:val="0"/>
              <w:spacing w:before="0" w:after="283"/>
              <w:jc w:val="left"/>
              <w:rPr/>
            </w:pPr>
            <w:r>
              <w:rPr/>
              <w:t>5.24</w:t>
            </w:r>
          </w:p>
        </w:tc>
        <w:tc>
          <w:tcPr>
            <w:tcW w:w="973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contents of the Secretary’s Certificate were true and not misleading when given and remain true and not misleading as at the date of this letter and there is no fact or matter not referred to in the Secretary’s Certificate which would make any of the information in the Secretary’s Certificate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5"/>
        <w:gridCol w:w="9760"/>
      </w:tblGrid>
      <w:tr>
        <w:trPr/>
        <w:tc>
          <w:tcPr>
            <w:tcW w:w="445" w:type="dxa"/>
            <w:tcBorders/>
          </w:tcPr>
          <w:p>
            <w:pPr>
              <w:pStyle w:val="TableContents"/>
              <w:bidi w:val="0"/>
              <w:spacing w:before="0" w:after="283"/>
              <w:jc w:val="left"/>
              <w:rPr/>
            </w:pPr>
            <w:r>
              <w:rPr/>
              <w:t>5.25</w:t>
            </w:r>
          </w:p>
        </w:tc>
        <w:tc>
          <w:tcPr>
            <w:tcW w:w="97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fact or matter (such as bad faith, coercion, duress, undue influence or a mistake or misrepresentation before or at the time any agreement or instrument is entered into, a subsequent breach, release, waiver or variation of any right or provision, an entitlement to rectification or circumstances giving rise to an estoppel) which might affect the allotment and issue of the Warrant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5.26</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has not taken any corporate or other action and no steps have been taken or legal proceedings have been started against the Company for the liquidation, winding-up, dissolution, reorganisation or bankruptcy of, or for the appointment of a liquidator, receiver, trustee, administrator, administrative receiver or similar officer of, the Company or all or any of its assets (or any analogous proceedings in any jurisdiction) and the Company is not unable to pay its debts as they fall due within the meaning of section 123 of the Insolvency Act 1986, as amended (the “</w:t>
            </w:r>
            <w:r>
              <w:rPr>
                <w:rFonts w:ascii="Times New Roman" w:hAnsi="Times New Roman"/>
                <w:b/>
                <w:sz w:val="20"/>
              </w:rPr>
              <w:t>Insolvency Act</w:t>
            </w:r>
            <w:r>
              <w:rPr>
                <w:rFonts w:ascii="Times New Roman" w:hAnsi="Times New Roman"/>
                <w:sz w:val="20"/>
              </w:rPr>
              <w:t xml:space="preserve">”) or becomes unable to pay its debts within the meaning of that section as a result of any of the transactions contemplated in this letter, is insolvent or has been dissolved or declared bankrupt;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5.27</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agreements and documents examined by us that are governed by the laws of any jurisdiction other than England are on the date of this letter legal, valid and binding under the laws by which they are (or are expected to be) governed;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pPr>
            <w:r>
              <w:rPr/>
              <w:t>5.28</w:t>
            </w:r>
          </w:p>
        </w:tc>
        <w:tc>
          <w:tcPr>
            <w:tcW w:w="974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are no provisions of the laws of any jurisdiction outside England that would have any implication for the opinions which we express in this letter and that, insofar as the laws of any jurisdiction outside England may be relevant to this letter, such laws have been and will be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pPr>
            <w:r>
              <w:rPr/>
              <w:t>5.29</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statements of fact and representations and warranties as to matters of fact (except as to matters expressly set out in the opinions given in this letter) contained in or made in connection with any of the documents examined by us were true and correct as at the date given and are true and correct at today’s date and no fact was omitted therefrom which would have made any of such facts, representations or warranties incorrect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pPr>
            <w:r>
              <w:rPr/>
              <w:t>5.30</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consents, licences, approvals, authorisations, notices, filings and registrations that are necessary under any applicable laws or regulations in connection with the transactions contemplated by the Registration Statement have been or will be duly made or obtained and are, or will be,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tcPr>
          <w:p>
            <w:pPr>
              <w:pStyle w:val="TableContents"/>
              <w:bidi w:val="0"/>
              <w:spacing w:before="0" w:after="283"/>
              <w:jc w:val="left"/>
              <w:rPr/>
            </w:pPr>
            <w:r>
              <w:rPr/>
              <w:t>5.31</w:t>
            </w:r>
          </w:p>
        </w:tc>
        <w:tc>
          <w:tcPr>
            <w:tcW w:w="97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note that the Warrant Certificate provides that it is to be governed by and construed in accordance with the laws of the State of New York. We express no opinion as to any matters governed by the laws of the State of New York. As lawyers not qualified in New York, we are not qualified or able to assess the true meaning or import of the terms of the Warrant Certificate under the laws of the State of New York, and we have made no investigation of such meaning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Six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or import. Therefore, our review of the Warrant Certificate has been limited to its terms as they appear to us on their face. We have assumed that the choice of New York law in the Warrant Certificate is valid as a matter of New York law and the Warrant Certificate and each of its provisions are valid, binding and enforceable under New York law and the law of any other jurisdiction whose law applies, other than law covered expressly in an opinion included in this letter. We have also assumed that, under New York law, any court named in the forum selection clauses of the Warrant Certificate will have jurisdiction over the parties and the subject matter of any action brought in that court under the Warrant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
        <w:gridCol w:w="9748"/>
      </w:tblGrid>
      <w:tr>
        <w:trPr/>
        <w:tc>
          <w:tcPr>
            <w:tcW w:w="457" w:type="dxa"/>
            <w:tcBorders/>
          </w:tcPr>
          <w:p>
            <w:pPr>
              <w:pStyle w:val="TableContents"/>
              <w:bidi w:val="0"/>
              <w:spacing w:before="0" w:after="283"/>
              <w:jc w:val="left"/>
              <w:rPr/>
            </w:pPr>
            <w:r>
              <w:rPr/>
              <w:t>5.32</w:t>
            </w:r>
          </w:p>
        </w:tc>
        <w:tc>
          <w:tcPr>
            <w:tcW w:w="9748" w:type="dxa"/>
            <w:tcBorders/>
          </w:tcPr>
          <w:p>
            <w:pPr>
              <w:pStyle w:val="TableContents"/>
              <w:bidi w:val="0"/>
              <w:spacing w:before="0" w:after="0"/>
              <w:jc w:val="left"/>
              <w:rPr>
                <w:rFonts w:ascii="Times New Roman" w:hAnsi="Times New Roman"/>
                <w:sz w:val="20"/>
              </w:rPr>
            </w:pPr>
            <w:r>
              <w:rPr>
                <w:rFonts w:ascii="Times New Roman" w:hAnsi="Times New Roman"/>
                <w:sz w:val="20"/>
              </w:rPr>
              <w:t>no ADSs or Ordinary Shares have been or shall be offered to the public in the United Kingdom in breach of the Financial Services and Markets Act 2000, as amended (the “</w:t>
            </w:r>
            <w:r>
              <w:rPr>
                <w:rFonts w:ascii="Times New Roman" w:hAnsi="Times New Roman"/>
                <w:b/>
                <w:sz w:val="20"/>
              </w:rPr>
              <w:t>FSMA</w:t>
            </w:r>
            <w:r>
              <w:rPr>
                <w:rFonts w:ascii="Times New Roman" w:hAnsi="Times New Roman"/>
                <w:sz w:val="20"/>
              </w:rPr>
              <w:t>”), the Public Offers and Admissions to Trading Regulations 2024 (the “</w:t>
            </w:r>
            <w:r>
              <w:rPr>
                <w:rFonts w:ascii="Times New Roman" w:hAnsi="Times New Roman"/>
                <w:b/>
                <w:sz w:val="20"/>
              </w:rPr>
              <w:t>POATRs</w:t>
            </w:r>
            <w:r>
              <w:rPr>
                <w:rFonts w:ascii="Times New Roman" w:hAnsi="Times New Roman"/>
                <w:sz w:val="20"/>
              </w:rPr>
              <w:t>”) and the Financial Conduct Authority’s Prospectus Rules: Admission to Trading on a Regulated Market sourcebook (the “</w:t>
            </w:r>
            <w:r>
              <w:rPr>
                <w:rFonts w:ascii="Times New Roman" w:hAnsi="Times New Roman"/>
                <w:b/>
                <w:sz w:val="20"/>
              </w:rPr>
              <w:t>PRM</w:t>
            </w:r>
            <w:r>
              <w:rPr>
                <w:rFonts w:ascii="Times New Roman" w:hAnsi="Times New Roman"/>
                <w:sz w:val="20"/>
              </w:rPr>
              <w:t xml:space="preserve">”), or of any other United Kingdom laws or regulations concerning offers of securities to the public, and no communication has been or shall be made in relation to the ADSs or the Ordinary Shares in breach of section 21 (Restrictions on financial promotion) of the FSMA or any other United Kingdom laws or regulations relating to offers or invitations to subscribe for, or to acquire rights to subscribe for or otherwise acquire, shares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
        <w:gridCol w:w="9752"/>
      </w:tblGrid>
      <w:tr>
        <w:trPr/>
        <w:tc>
          <w:tcPr>
            <w:tcW w:w="453" w:type="dxa"/>
            <w:tcBorders/>
          </w:tcPr>
          <w:p>
            <w:pPr>
              <w:pStyle w:val="TableContents"/>
              <w:bidi w:val="0"/>
              <w:spacing w:before="0" w:after="283"/>
              <w:jc w:val="left"/>
              <w:rPr/>
            </w:pPr>
            <w:r>
              <w:rPr/>
              <w:t>5.33</w:t>
            </w:r>
          </w:p>
        </w:tc>
        <w:tc>
          <w:tcPr>
            <w:tcW w:w="975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issuing the Warrants, the Company was not carrying on a regulated activity for the purposes of section 19 of FSMA;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0"/>
        <w:gridCol w:w="9745"/>
      </w:tblGrid>
      <w:tr>
        <w:trPr/>
        <w:tc>
          <w:tcPr>
            <w:tcW w:w="460" w:type="dxa"/>
            <w:tcBorders/>
          </w:tcPr>
          <w:p>
            <w:pPr>
              <w:pStyle w:val="TableContents"/>
              <w:bidi w:val="0"/>
              <w:spacing w:before="0" w:after="283"/>
              <w:jc w:val="left"/>
              <w:rPr/>
            </w:pPr>
            <w:r>
              <w:rPr/>
              <w:t>5.34</w:t>
            </w:r>
          </w:p>
        </w:tc>
        <w:tc>
          <w:tcPr>
            <w:tcW w:w="9745" w:type="dxa"/>
            <w:tcBorders/>
          </w:tcPr>
          <w:p>
            <w:pPr>
              <w:pStyle w:val="TableContents"/>
              <w:bidi w:val="0"/>
              <w:spacing w:before="0" w:after="0"/>
              <w:jc w:val="left"/>
              <w:rPr>
                <w:rFonts w:ascii="Times New Roman" w:hAnsi="Times New Roman"/>
                <w:sz w:val="20"/>
              </w:rPr>
            </w:pPr>
            <w:r>
              <w:rPr>
                <w:rFonts w:ascii="Times New Roman" w:hAnsi="Times New Roman"/>
                <w:sz w:val="20"/>
              </w:rPr>
              <w:t>all applicable provisions of the EU Market Abuse Regulation (Regulation (EU) No 596/2014) as it forms part of domestic law in the United Kingdom by virtue of the Withdrawal Act (“</w:t>
            </w:r>
            <w:r>
              <w:rPr>
                <w:rFonts w:ascii="Times New Roman" w:hAnsi="Times New Roman"/>
                <w:b/>
                <w:sz w:val="20"/>
              </w:rPr>
              <w:t>UK MAR</w:t>
            </w:r>
            <w:r>
              <w:rPr>
                <w:rFonts w:ascii="Times New Roman" w:hAnsi="Times New Roman"/>
                <w:sz w:val="20"/>
              </w:rPr>
              <w:t>”), the POATRs, the PRM, the FSMA, the Financial Services Act 2012 (the “</w:t>
            </w:r>
            <w:r>
              <w:rPr>
                <w:rFonts w:ascii="Times New Roman" w:hAnsi="Times New Roman"/>
                <w:b/>
                <w:sz w:val="20"/>
              </w:rPr>
              <w:t>FS Act</w:t>
            </w:r>
            <w:r>
              <w:rPr>
                <w:rFonts w:ascii="Times New Roman" w:hAnsi="Times New Roman"/>
                <w:sz w:val="20"/>
              </w:rPr>
              <w:t>”), and all rules and regulations made pursuant to UK MAR, the POATRs, the PRM, the FSMA and the FS Act, have been and will be complied with as regards anything done in relation to the ADSs or the Ordinary Shares in, from or otherwise involving England (including, without limitation, articles 14 (</w:t>
            </w:r>
            <w:r>
              <w:rPr>
                <w:rFonts w:ascii="Times New Roman" w:hAnsi="Times New Roman"/>
                <w:i/>
                <w:sz w:val="20"/>
              </w:rPr>
              <w:t>Prohibition of insider dealing and of unlawful disclosure of inside information</w:t>
            </w:r>
            <w:r>
              <w:rPr>
                <w:rFonts w:ascii="Times New Roman" w:hAnsi="Times New Roman"/>
                <w:sz w:val="20"/>
              </w:rPr>
              <w:t>) and 15 (</w:t>
            </w:r>
            <w:r>
              <w:rPr>
                <w:rFonts w:ascii="Times New Roman" w:hAnsi="Times New Roman"/>
                <w:i/>
                <w:sz w:val="20"/>
              </w:rPr>
              <w:t>Prohibition of market manipulation</w:t>
            </w:r>
            <w:r>
              <w:rPr>
                <w:rFonts w:ascii="Times New Roman" w:hAnsi="Times New Roman"/>
                <w:sz w:val="20"/>
              </w:rPr>
              <w:t>) of UK MAR, sections 19 (</w:t>
            </w:r>
            <w:r>
              <w:rPr>
                <w:rFonts w:ascii="Times New Roman" w:hAnsi="Times New Roman"/>
                <w:i/>
                <w:sz w:val="20"/>
              </w:rPr>
              <w:t>The general prohibition</w:t>
            </w:r>
            <w:r>
              <w:rPr>
                <w:rFonts w:ascii="Times New Roman" w:hAnsi="Times New Roman"/>
                <w:sz w:val="20"/>
              </w:rPr>
              <w:t>) and 21 (</w:t>
            </w:r>
            <w:r>
              <w:rPr>
                <w:rFonts w:ascii="Times New Roman" w:hAnsi="Times New Roman"/>
                <w:i/>
                <w:sz w:val="20"/>
              </w:rPr>
              <w:t>Restrictions on financial promotion</w:t>
            </w:r>
            <w:r>
              <w:rPr>
                <w:rFonts w:ascii="Times New Roman" w:hAnsi="Times New Roman"/>
                <w:sz w:val="20"/>
              </w:rPr>
              <w:t>) of the FSMA and sections 89 (</w:t>
            </w:r>
            <w:r>
              <w:rPr>
                <w:rFonts w:ascii="Times New Roman" w:hAnsi="Times New Roman"/>
                <w:i/>
                <w:sz w:val="20"/>
              </w:rPr>
              <w:t>Misleading statements</w:t>
            </w:r>
            <w:r>
              <w:rPr>
                <w:rFonts w:ascii="Times New Roman" w:hAnsi="Times New Roman"/>
                <w:sz w:val="20"/>
              </w:rPr>
              <w:t>), 90 (</w:t>
            </w:r>
            <w:r>
              <w:rPr>
                <w:rFonts w:ascii="Times New Roman" w:hAnsi="Times New Roman"/>
                <w:i/>
                <w:sz w:val="20"/>
              </w:rPr>
              <w:t>Misleading impressions</w:t>
            </w:r>
            <w:r>
              <w:rPr>
                <w:rFonts w:ascii="Times New Roman" w:hAnsi="Times New Roman"/>
                <w:sz w:val="20"/>
              </w:rPr>
              <w:t>) and 91 (</w:t>
            </w:r>
            <w:r>
              <w:rPr>
                <w:rFonts w:ascii="Times New Roman" w:hAnsi="Times New Roman"/>
                <w:i/>
                <w:sz w:val="20"/>
              </w:rPr>
              <w:t>Misleading statements etc. in relation to benchmarks</w:t>
            </w:r>
            <w:r>
              <w:rPr>
                <w:rFonts w:ascii="Times New Roman" w:hAnsi="Times New Roman"/>
                <w:sz w:val="20"/>
              </w:rPr>
              <w:t xml:space="preserve">) of the FS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6"/>
        <w:gridCol w:w="9749"/>
      </w:tblGrid>
      <w:tr>
        <w:trPr/>
        <w:tc>
          <w:tcPr>
            <w:tcW w:w="456" w:type="dxa"/>
            <w:tcBorders/>
          </w:tcPr>
          <w:p>
            <w:pPr>
              <w:pStyle w:val="TableContents"/>
              <w:bidi w:val="0"/>
              <w:spacing w:before="0" w:after="283"/>
              <w:jc w:val="left"/>
              <w:rPr/>
            </w:pPr>
            <w:r>
              <w:rPr/>
              <w:t>5.35</w:t>
            </w:r>
          </w:p>
        </w:tc>
        <w:tc>
          <w:tcPr>
            <w:tcW w:w="974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place of central management and control is not, and will not be as at each Bring-Down Date, the UK, the Channel Islands or the Isle of Man for the purposes of the City Code on Takeovers and Mergers;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
        <w:gridCol w:w="9747"/>
      </w:tblGrid>
      <w:tr>
        <w:trPr/>
        <w:tc>
          <w:tcPr>
            <w:tcW w:w="458" w:type="dxa"/>
            <w:tcBorders/>
          </w:tcPr>
          <w:p>
            <w:pPr>
              <w:pStyle w:val="TableContents"/>
              <w:bidi w:val="0"/>
              <w:spacing w:before="0" w:after="283"/>
              <w:jc w:val="left"/>
              <w:rPr/>
            </w:pPr>
            <w:r>
              <w:rPr/>
              <w:t>5.36</w:t>
            </w:r>
          </w:p>
        </w:tc>
        <w:tc>
          <w:tcPr>
            <w:tcW w:w="97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application has been or will be made for the Ordinary Shares or the ADSs to be listed or admitted to trading on a regulated market, multilateral trading facility or organised trading facility situated or operating in the United Kingdom.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SCOPE OF OPINIONS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given in this letter are limited to English law as it would be applied by English courts on the date of this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express no opinion in this letter on the laws of any other jurisdiction. We have not investigated the laws of any country other than England and we assume that no foreign law affects any of the opinions stated in paragraph 4 (</w:t>
            </w:r>
            <w:r>
              <w:rPr>
                <w:rFonts w:ascii="Times New Roman" w:hAnsi="Times New Roman"/>
                <w:i/>
                <w:sz w:val="20"/>
              </w:rPr>
              <w:t>Opinions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We express no opinion as to any agreement, instrument or other document other than as specified in this letter. For the purposes of giving the opinions in paragraph 4 (</w:t>
            </w:r>
            <w:r>
              <w:rPr>
                <w:rFonts w:ascii="Times New Roman" w:hAnsi="Times New Roman"/>
                <w:i/>
                <w:sz w:val="20"/>
              </w:rPr>
              <w:t>Opinions</w:t>
            </w:r>
            <w:r>
              <w:rPr>
                <w:rFonts w:ascii="Times New Roman" w:hAnsi="Times New Roman"/>
                <w:sz w:val="20"/>
              </w:rPr>
              <w:t>), we have only examined and relied on those documents set out in paragraph 2 (</w:t>
            </w:r>
            <w:r>
              <w:rPr>
                <w:rFonts w:ascii="Times New Roman" w:hAnsi="Times New Roman"/>
                <w:i/>
                <w:sz w:val="20"/>
              </w:rPr>
              <w:t>Documents</w:t>
            </w:r>
            <w:r>
              <w:rPr>
                <w:rFonts w:ascii="Times New Roman" w:hAnsi="Times New Roman"/>
                <w:sz w:val="20"/>
              </w:rPr>
              <w:t>) and made those searches and enquiries set out in paragraph 3 (</w:t>
            </w:r>
            <w:r>
              <w:rPr>
                <w:rFonts w:ascii="Times New Roman" w:hAnsi="Times New Roman"/>
                <w:i/>
                <w:sz w:val="20"/>
              </w:rPr>
              <w:t>Searches</w:t>
            </w:r>
            <w:r>
              <w:rPr>
                <w:rFonts w:ascii="Times New Roman" w:hAnsi="Times New Roman"/>
                <w:sz w:val="20"/>
              </w:rPr>
              <w:t>), respectively. We have made no further enquiries concerning the Company or any other matter in connection with the giving of the opinions in paragraph 4 (</w:t>
            </w:r>
            <w:r>
              <w:rPr>
                <w:rFonts w:ascii="Times New Roman" w:hAnsi="Times New Roman"/>
                <w:i/>
                <w:sz w:val="20"/>
              </w:rPr>
              <w:t>Opinions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opinion is expressed with respect to taxation in the United Kingdom or otherwise in this letter.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Seven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been responsible for investigating or verifying the accuracy of the facts or the reasonableness of any statement of opinion or intention, contained in or relevant to any document referred to in this letter, or that no material facts have been omitted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opinions given in this letter are given on the basis of each of the assumptions set out in paragraph 5 (</w:t>
            </w:r>
            <w:r>
              <w:rPr>
                <w:rFonts w:ascii="Times New Roman" w:hAnsi="Times New Roman"/>
                <w:i/>
                <w:sz w:val="20"/>
              </w:rPr>
              <w:t>Assumptions</w:t>
            </w:r>
            <w:r>
              <w:rPr>
                <w:rFonts w:ascii="Times New Roman" w:hAnsi="Times New Roman"/>
                <w:sz w:val="20"/>
              </w:rPr>
              <w:t>) and are subject to each of the reservations set out in paragraph 7 (</w:t>
            </w:r>
            <w:r>
              <w:rPr>
                <w:rFonts w:ascii="Times New Roman" w:hAnsi="Times New Roman"/>
                <w:i/>
                <w:sz w:val="20"/>
              </w:rPr>
              <w:t>Reservations</w:t>
            </w:r>
            <w:r>
              <w:rPr>
                <w:rFonts w:ascii="Times New Roman" w:hAnsi="Times New Roman"/>
                <w:sz w:val="20"/>
              </w:rPr>
              <w:t>) to this letter. The opinions given in this letter are strictly limited to the matters stated in paragraph 4 (</w:t>
            </w:r>
            <w:r>
              <w:rPr>
                <w:rFonts w:ascii="Times New Roman" w:hAnsi="Times New Roman"/>
                <w:i/>
                <w:sz w:val="20"/>
              </w:rPr>
              <w:t>Opinions</w:t>
            </w:r>
            <w:r>
              <w:rPr>
                <w:rFonts w:ascii="Times New Roman" w:hAnsi="Times New Roman"/>
                <w:sz w:val="20"/>
              </w:rPr>
              <w:t xml:space="preserve">) and do not extend, and should not be read as extending, by implication or otherwise, to any other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the opinion given in this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not been responsible for investigation or verification of statements of fact (including statements as to foreign law) or the reasonableness of any statements of opinion in the Registration Statement, or that no material facts have been omitted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letter is given by Cooley (UK) LLP and no partner or employee assumes any personal responsibility for it nor shall owe any duty of care in respect of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1"/>
        <w:gridCol w:w="9744"/>
      </w:tblGrid>
      <w:tr>
        <w:trPr/>
        <w:tc>
          <w:tcPr>
            <w:tcW w:w="461" w:type="dxa"/>
            <w:tcBorders/>
          </w:tcPr>
          <w:p>
            <w:pPr>
              <w:pStyle w:val="TableContents"/>
              <w:bidi w:val="0"/>
              <w:spacing w:before="0" w:after="283"/>
              <w:jc w:val="left"/>
              <w:rPr/>
            </w:pPr>
            <w:r>
              <w:rPr/>
              <w:t>6.10</w:t>
            </w:r>
          </w:p>
        </w:tc>
        <w:tc>
          <w:tcPr>
            <w:tcW w:w="974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letter, the opinions given in it, and any non-contractual obligations arising out of or in connection with this letter and/or the opinions given in it, are governed by and shall be construed in accordance with English law as at the date of this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RESERVATIONS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Companies House Search described at paragraph 3.1 (</w:t>
            </w:r>
            <w:r>
              <w:rPr>
                <w:rFonts w:ascii="Times New Roman" w:hAnsi="Times New Roman"/>
                <w:i/>
                <w:sz w:val="20"/>
              </w:rPr>
              <w:t>Searches</w:t>
            </w:r>
            <w:r>
              <w:rPr>
                <w:rFonts w:ascii="Times New Roman" w:hAnsi="Times New Roman"/>
                <w:sz w:val="20"/>
              </w:rPr>
              <w:t xml:space="preserve">) is not capable of revealing conclusively whether or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winding-up order has been made or a resolution passed for the winding-up of a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administration order has been made;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receiver, administrative receiver, administrator or liquidator has been appointed,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since notice of these matters may not be filed with the Registrar of Companies in England and Wales immediately and, when filed, may not be entered on the public database or recorded on the public microfiches of the relevant company immediately. </w:t>
      </w:r>
    </w:p>
    <w:p>
      <w:pPr>
        <w:pStyle w:val="TextBody"/>
        <w:bidi w:val="0"/>
        <w:spacing w:before="120" w:after="0"/>
        <w:jc w:val="left"/>
        <w:rPr>
          <w:rFonts w:ascii="Times New Roman" w:hAnsi="Times New Roman"/>
          <w:sz w:val="20"/>
        </w:rPr>
      </w:pPr>
      <w:r>
        <w:rPr>
          <w:rFonts w:ascii="Times New Roman" w:hAnsi="Times New Roman"/>
          <w:sz w:val="20"/>
        </w:rPr>
        <w:t xml:space="preserve">In addition, such a company search is not capable of revealing, prior to the making of the relevant order, whether or not a winding-up petition or a petition for an administration order has been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Central Registry Enquiry described at paragraph 3.2 (</w:t>
            </w:r>
            <w:r>
              <w:rPr>
                <w:rFonts w:ascii="Times New Roman" w:hAnsi="Times New Roman"/>
                <w:i/>
                <w:sz w:val="20"/>
              </w:rPr>
              <w:t>Searches</w:t>
            </w:r>
            <w:r>
              <w:rPr>
                <w:rFonts w:ascii="Times New Roman" w:hAnsi="Times New Roman"/>
                <w:sz w:val="20"/>
              </w:rPr>
              <w:t xml:space="preserve">) relates only to a compulsory winding-up and is not capable of revealing conclusively whether or not a winding-up petition in respect of a compulsory winding-up has been presented, since details of the petition may not have been entered on the records of the Central Registry immediately or, in the case of a petition presented to a District Registry and/or County Court in England and Wales, may not have been notified to the Central Registry and entered on such records at all, and the response to an enquiry only relates to the period since approximately 2016 for petitions presented in London and since approximately 2019 for petitions presented to a District Registry and/or County Court in England and Wales. We have not made enquiries of any District Registry or County Court in England and Wales.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opinions set out in this letter are subject to: (i) any limitations arising from applicable laws relating to insolvency, bankruptcy, administration, reorganisation, liquidation, moratoria, schemes or analogous circumstances; and (ii) an English court exercising its discretion under section 426 of the Insolvency Act (</w:t>
            </w:r>
            <w:r>
              <w:rPr>
                <w:rFonts w:ascii="Times New Roman" w:hAnsi="Times New Roman"/>
                <w:i/>
                <w:sz w:val="20"/>
              </w:rPr>
              <w:t>co-operation between courts exercising jurisdiction in relation to insolvency</w:t>
            </w:r>
            <w:r>
              <w:rPr>
                <w:rFonts w:ascii="Times New Roman" w:hAnsi="Times New Roman"/>
                <w:sz w:val="20"/>
              </w:rPr>
              <w:t xml:space="preserve">) to assist the courts having the corresponding jurisdiction in any part of the United Kingdom or any relevant country or territory.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Page Eight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as to matters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Save for the matters set out in the Secretary’s Certificate, we have made no enquiries of any individual connected with the Company. We have relied entirely on the facts, statements and confirmations contained in the Secretary’s Certificate and we have not undertaken any independent investigation or verification of the matters referred to in the Secretary’s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(a) any party to the Warrant Certificate is the target of economic or financial sanctions or other restrictive measures imposed in any jurisdiction (“</w:t>
            </w:r>
            <w:r>
              <w:rPr>
                <w:rFonts w:ascii="Times New Roman" w:hAnsi="Times New Roman"/>
                <w:b/>
                <w:sz w:val="20"/>
              </w:rPr>
              <w:t>Sanctions</w:t>
            </w:r>
            <w:r>
              <w:rPr>
                <w:rFonts w:ascii="Times New Roman" w:hAnsi="Times New Roman"/>
                <w:sz w:val="20"/>
              </w:rPr>
              <w:t xml:space="preserve">”) or is owned or controlled (directly or indirectly) by or is acting on behalf of or at the direction of or is otherwise connected with a person who is a target of Sanctions or (b) any party to the Warrant Certificate is incorporated or resident in or operating from a country or territory that is a target of Sanctions or (c) the rights or obligations of any party to the Warrant Certificate is otherwise affected by Sanctions, then the rights and obligations of such person under the Warrant Certificate may be void and/or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 in this letter on the application or potential application of the National Security and Investment Act 2021 in relation to the Warrant Certificate or any transaction contemplated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AND RELIANCE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letter is addressed to you solely for your benefit in connection with the Registration Statement and the transactions contemplated thereunder. We consent to the filing of this letter as an exhibit to the Registration Statement. In giving such consent, we do not thereby admit that we are in the category of persons whose consent is required under section 7 of the Securities Act or the rules and regulations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letter may not be relied upon by you for any other purpose, or furnished to, assigned to, quoted to, or relied upon by any other person, firm or other entity for any purpose, without our prior written consent, which may be granted or withheld at our sole discretion.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Cooley (UK) LLP </w:t>
      </w:r>
    </w:p>
    <w:p>
      <w:pPr>
        <w:pStyle w:val="TextBody"/>
        <w:bidi w:val="0"/>
        <w:spacing w:before="240" w:after="0"/>
        <w:jc w:val="left"/>
        <w:rPr>
          <w:rFonts w:ascii="Times New Roman" w:hAnsi="Times New Roman"/>
          <w:b/>
          <w:sz w:val="20"/>
        </w:rPr>
      </w:pPr>
      <w:r>
        <w:rPr>
          <w:rFonts w:ascii="Times New Roman" w:hAnsi="Times New Roman"/>
          <w:b/>
          <w:sz w:val="20"/>
        </w:rPr>
        <w:t xml:space="preserve">Cooley (UK) LLP </w:t>
      </w:r>
    </w:p>
    <w:p>
      <w:pPr>
        <w:pStyle w:val="TextBody"/>
        <w:bidi w:val="0"/>
        <w:spacing w:before="0" w:after="0"/>
        <w:jc w:val="right"/>
        <w:rPr>
          <w:rFonts w:ascii="Times New Roman" w:hAnsi="Times New Roman"/>
          <w:b/>
          <w:sz w:val="20"/>
        </w:rPr>
      </w:pPr>
      <w:bookmarkStart w:id="20" w:name="d112040dex231.htm"/>
      <w:bookmarkStart w:id="21" w:name="ksd112040dex231"/>
      <w:bookmarkEnd w:id="20"/>
      <w:bookmarkEnd w:id="21"/>
      <w:r>
        <w:rPr>
          <w:rFonts w:ascii="Times New Roman" w:hAnsi="Times New Roman"/>
          <w:b/>
          <w:sz w:val="20"/>
        </w:rPr>
        <w:t xml:space="preserve">Exhibit 23.1 </w:t>
      </w:r>
      <w:r>
        <w:br w:type="page"/>
      </w:r>
    </w:p>
    <w:p>
      <w:pPr>
        <w:pStyle w:val="TextBody"/>
        <w:bidi w:val="0"/>
        <w:spacing w:before="360" w:after="0"/>
        <w:jc w:val="left"/>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Autolus Therapeutics plc for the registration of 3,500,000 American Depository Shares representing 3,500,000 ordinary shares and to the incorporation by reference therein of our report dated March 27, 2026, with respect to the consolidated financial statements of Autolus Therapeutics plc, included in its Annual Report (Form 10-K) for the year ended December 31,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Reading,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September 11, 2026. </w:t>
      </w:r>
    </w:p>
    <w:p>
      <w:pPr>
        <w:pStyle w:val="Normal"/>
        <w:bidi w:val="0"/>
        <w:spacing w:before="0" w:after="0"/>
        <w:jc w:val="left"/>
        <w:rPr>
          <w:sz w:val="4"/>
          <w:szCs w:val="4"/>
        </w:rPr>
      </w:pPr>
      <w:r>
        <w:rPr>
          <w:sz w:val="4"/>
          <w:szCs w:val="4"/>
        </w:rPr>
      </w:r>
      <w:bookmarkStart w:id="22" w:name="d112040dexfilingfees.htm"/>
      <w:bookmarkStart w:id="23" w:name="ksd112040dexfilingfees"/>
      <w:bookmarkStart w:id="24" w:name="d112040dexfilingfees.htm"/>
      <w:bookmarkStart w:id="25" w:name="ksd112040dexfilingfees"/>
      <w:bookmarkEnd w:id="24"/>
      <w:bookmarkEnd w:id="25"/>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Autolus Therapeutics plc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49" w:type="dxa"/>
        <w:jc w:val="left"/>
        <w:tblInd w:w="0" w:type="dxa"/>
        <w:tblLayout w:type="fixed"/>
        <w:tblCellMar>
          <w:top w:w="28" w:type="dxa"/>
          <w:left w:w="28" w:type="dxa"/>
          <w:bottom w:w="28" w:type="dxa"/>
          <w:right w:w="28" w:type="dxa"/>
        </w:tblCellMar>
      </w:tblPr>
      <w:tblGrid>
        <w:gridCol w:w="1126"/>
        <w:gridCol w:w="226"/>
        <w:gridCol w:w="946"/>
        <w:gridCol w:w="1126"/>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Ordinary shares, nominal value $0.000042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3,500,000 </w:t>
            </w:r>
          </w:p>
        </w:tc>
        <w:tc>
          <w:tcPr>
            <w:tcW w:w="1156" w:type="dxa"/>
            <w:tcBorders/>
            <w:shd w:fill="E7E7E2" w:val="clear"/>
            <w:vAlign w:val="center"/>
          </w:tcPr>
          <w:p>
            <w:pPr>
              <w:pStyle w:val="TableContents"/>
              <w:bidi w:val="0"/>
              <w:spacing w:before="0" w:after="283"/>
              <w:jc w:val="right"/>
              <w:rPr/>
            </w:pPr>
            <w:r>
              <w:rPr/>
              <w:t xml:space="preserve">$ 2.17 </w:t>
            </w:r>
          </w:p>
        </w:tc>
        <w:tc>
          <w:tcPr>
            <w:tcW w:w="1546" w:type="dxa"/>
            <w:tcBorders/>
            <w:shd w:fill="E7E7E2" w:val="clear"/>
            <w:vAlign w:val="center"/>
          </w:tcPr>
          <w:p>
            <w:pPr>
              <w:pStyle w:val="TableContents"/>
              <w:bidi w:val="0"/>
              <w:spacing w:before="0" w:after="283"/>
              <w:jc w:val="right"/>
              <w:rPr/>
            </w:pPr>
            <w:r>
              <w:rPr/>
              <w:t xml:space="preserve">$ 7,595,000.00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$ 1,048.87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6" w:name="MaxAggtOfferingPrice"/>
            <w:bookmarkEnd w:id="26"/>
            <w:r>
              <w:rPr/>
              <w:t xml:space="preserve">$ 7,595,000.00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$ 1,048.87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$ 1,048.87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9"/>
        <w:gridCol w:w="8706"/>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Consists of 3,500,000 American Depositary Shares ("ADSs") issuable upon the exercise of the warrant of the registrant being registered for resale from time to time by the selling securityholder under this registration statement. In addition, pursuant to Rule 416 under the Securities Act of 1933, as amended, or the Securities Act, the ordinary shares represented by ADSs being registered hereunder include such indeterminate number of ordinary shares as may be issuable with respect to the ordinary shares being registered hereunder as a result of stock splits, stock dividends or similar transactions. 2 Estimated solely for the purpose of calculating the registration fee in accordance with Rule 457(c) under the Securities Act. The proposed maximum offering price per unit and proposed maximum aggregate offering price are based on the average of the high and low prices of the ADSs on The Nasdaq Stock Market on September 8, 2026 (such date being within five business days of the date that this registration statement on Form S-3 was filed with the U.S. Securities and Exchange Commission).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30463/000173046326000038/autl-20251231.htm" TargetMode="External"/><Relationship Id="rId4" Type="http://schemas.openxmlformats.org/officeDocument/2006/relationships/hyperlink" Target="http://www.sec.gov/Archives/edgar/data/../../../ix?doc=/Archives/edgar/data/1730463/000173046326000065/autl-20260331.htm" TargetMode="External"/><Relationship Id="rId5" Type="http://schemas.openxmlformats.org/officeDocument/2006/relationships/hyperlink" Target="http://www.sec.gov/Archives/edgar/data/../../../ix?doc=/Archives/edgar/data/1730463/000173046326000123/autl-20260630.htm" TargetMode="External"/><Relationship Id="rId6" Type="http://schemas.openxmlformats.org/officeDocument/2006/relationships/hyperlink" Target="http://www.sec.gov/Archives/edgar/data/1730463/000173046326000012/autl-20260112.htm" TargetMode="External"/><Relationship Id="rId7" Type="http://schemas.openxmlformats.org/officeDocument/2006/relationships/hyperlink" Target="http://www.sec.gov/Archives/edgar/data/1730463/000173046326000019/autl-20260121.htm" TargetMode="External"/><Relationship Id="rId8" Type="http://schemas.openxmlformats.org/officeDocument/2006/relationships/hyperlink" Target="http://www.sec.gov/Archives/edgar/data/../../../ix?doc=/Archives/edgar/data/1730463/000173046326000049/autl-20260414.htm" TargetMode="External"/><Relationship Id="rId9" Type="http://schemas.openxmlformats.org/officeDocument/2006/relationships/hyperlink" Target="http://www.sec.gov/Archives/edgar/data/../../../ix?doc=/Archives/edgar/data/1730463/000119312526192362/d113906d8k.htm" TargetMode="External"/><Relationship Id="rId10" Type="http://schemas.openxmlformats.org/officeDocument/2006/relationships/hyperlink" Target="http://www.sec.gov/Archives/edgar/data/../../../ix?doc=/Archives/edgar/data/1730463/000173046326000069/autl-20260605.htm" TargetMode="External"/><Relationship Id="rId11" Type="http://schemas.openxmlformats.org/officeDocument/2006/relationships/hyperlink" Target="http://www.sec.gov/Archives/edgar/data/../../../ix?doc=/Archives/edgar/data/1730463/000173046326000072/autl-20260629.htm" TargetMode="External"/><Relationship Id="rId12" Type="http://schemas.openxmlformats.org/officeDocument/2006/relationships/hyperlink" Target="http://www.sec.gov/Archives/edgar/data/../../../ix?doc=/Archives/edgar/data/1730463/000119312526329526/d156965d8k.htm" TargetMode="External"/><Relationship Id="rId13" Type="http://schemas.openxmlformats.org/officeDocument/2006/relationships/hyperlink" Target="http://www.sec.gov/Archives/edgar/data/../../../ix?doc=/Archives/edgar/data/1730463/000173046326000112/autl-20260803.htm" TargetMode="External"/><Relationship Id="rId14" Type="http://schemas.openxmlformats.org/officeDocument/2006/relationships/hyperlink" Target="http://www.sec.gov/Archives/edgar/data/1730463/000119312518196920/d531832d8a12b.htm" TargetMode="External"/><Relationship Id="rId15" Type="http://schemas.openxmlformats.org/officeDocument/2006/relationships/hyperlink" Target="http://www.sec.gov/Archives/edgar/data/1730463/000119312518196344/d531832dex31.htm" TargetMode="External"/><Relationship Id="rId16" Type="http://schemas.openxmlformats.org/officeDocument/2006/relationships/hyperlink" Target="http://www.sec.gov/Archives/edgar/data/1730463/000173046319000004/autolusexhibit211q19.htm" TargetMode="External"/><Relationship Id="rId17" Type="http://schemas.openxmlformats.org/officeDocument/2006/relationships/hyperlink" Target="http://www.sec.gov/Archives/edgar/data/1730463/000173046319000004/autolusexhibit211q19.htm" TargetMode="External"/><Relationship Id="rId18" Type="http://schemas.openxmlformats.org/officeDocument/2006/relationships/hyperlink" Target="http://www.sec.gov/Archives/edgar/data/1730463/000119312526329526/d156965dex102.htm" TargetMode="External"/><Relationship Id="rId19" Type="http://schemas.openxmlformats.org/officeDocument/2006/relationships/hyperlink" Target="http://www.sec.gov/Archives/edgar/data/1730463/000119312526329526/d156965dex41.htm" TargetMode="External"/><Relationship Id="rId20" Type="http://schemas.openxmlformats.org/officeDocument/2006/relationships/hyperlink" Target="http://www.sec.gov/Archives/edgar/data/1730463/000119312526329526/d156965dex101.htm" TargetMode="External"/><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23207</Words>
  <Characters>120517</Characters>
  <CharactersWithSpaces>144146</CharactersWithSpaces>
  <Paragraphs>1693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