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4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p>
            <w:pPr>
              <w:pStyle w:val="TableContents"/>
              <w:bidi w:val="0"/>
              <w:spacing w:before="0" w:after="0"/>
              <w:ind w:left="0" w:right="0" w:firstLine="45"/>
              <w:jc w:val="left"/>
              <w:rPr/>
            </w:pPr>
            <w:r>
              <w:rPr/>
            </w:r>
          </w:p>
        </w:tc>
      </w:tr>
    </w:tbl>
    <w:p>
      <w:pPr>
        <w:pStyle w:val="TextBody"/>
        <w:bidi w:val="0"/>
        <w:spacing w:before="0" w:after="0"/>
        <w:ind w:left="0" w:right="0" w:firstLine="5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2025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__________ to __________ </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0"/>
          <w:shd w:fill="FFFFFF" w:val="clear"/>
        </w:rPr>
        <w:t>001-38547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AUTOLUS THERAPEUTICS PLC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9025" w:type="dxa"/>
        <w:jc w:val="center"/>
        <w:tblInd w:w="0" w:type="dxa"/>
        <w:tblLayout w:type="fixed"/>
        <w:tblCellMar>
          <w:top w:w="28" w:type="dxa"/>
          <w:left w:w="28" w:type="dxa"/>
          <w:bottom w:w="28" w:type="dxa"/>
          <w:right w:w="28" w:type="dxa"/>
        </w:tblCellMar>
      </w:tblPr>
      <w:tblGrid>
        <w:gridCol w:w="1813"/>
        <w:gridCol w:w="1595"/>
        <w:gridCol w:w="1601"/>
        <w:gridCol w:w="157"/>
        <w:gridCol w:w="157"/>
        <w:gridCol w:w="157"/>
        <w:gridCol w:w="157"/>
        <w:gridCol w:w="157"/>
        <w:gridCol w:w="157"/>
        <w:gridCol w:w="898"/>
        <w:gridCol w:w="898"/>
        <w:gridCol w:w="1278"/>
      </w:tblGrid>
      <w:tr>
        <w:trPr/>
        <w:tc>
          <w:tcPr>
            <w:tcW w:w="181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9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500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9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4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The Mediaworks</w:t>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191 Wood Lane</w:t>
            </w:r>
          </w:p>
        </w:tc>
      </w:tr>
      <w:tr>
        <w:trPr/>
        <w:tc>
          <w:tcPr>
            <w:tcW w:w="50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right"/>
              <w:rPr>
                <w:rFonts w:ascii="Times New Roman;serif" w:hAnsi="Times New Roman;serif"/>
                <w:b/>
                <w:color w:val="000000"/>
                <w:sz w:val="20"/>
              </w:rPr>
            </w:pPr>
            <w:r>
              <w:rPr>
                <w:rFonts w:ascii="Times New Roman;serif" w:hAnsi="Times New Roman;serif"/>
                <w:b/>
                <w:color w:val="000000"/>
                <w:sz w:val="20"/>
              </w:rPr>
              <w:t>London</w:t>
            </w:r>
          </w:p>
        </w:tc>
        <w:tc>
          <w:tcPr>
            <w:tcW w:w="942"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20"/>
              </w:rPr>
            </w:pPr>
            <w:r>
              <w:rPr>
                <w:rFonts w:ascii="Times New Roman;serif" w:hAnsi="Times New Roman;serif"/>
                <w:b/>
                <w:color w:val="000000"/>
                <w:sz w:val="20"/>
              </w:rPr>
              <w:t>W12 7FP</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United Kingdom</w:t>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r>
      <w:tr>
        <w:trPr/>
        <w:tc>
          <w:tcPr>
            <w:tcW w:w="5480" w:type="dxa"/>
            <w:gridSpan w:val="6"/>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(44) 20</w:t>
            </w:r>
          </w:p>
        </w:tc>
        <w:tc>
          <w:tcPr>
            <w:tcW w:w="354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3829 6230</w:t>
            </w:r>
          </w:p>
        </w:tc>
      </w:tr>
      <w:tr>
        <w:trPr/>
        <w:tc>
          <w:tcPr>
            <w:tcW w:w="902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167"/>
        <w:gridCol w:w="1859"/>
        <w:gridCol w:w="1817"/>
        <w:gridCol w:w="471"/>
        <w:gridCol w:w="471"/>
        <w:gridCol w:w="473"/>
        <w:gridCol w:w="860"/>
        <w:gridCol w:w="860"/>
        <w:gridCol w:w="1227"/>
      </w:tblGrid>
      <w:tr>
        <w:trPr/>
        <w:tc>
          <w:tcPr>
            <w:tcW w:w="2167"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5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9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84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American Depositary Shares, each representing one ordinary share, par value $0.000042 per share</w:t>
            </w:r>
          </w:p>
        </w:tc>
        <w:tc>
          <w:tcPr>
            <w:tcW w:w="14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AUTL</w:t>
            </w:r>
          </w:p>
        </w:tc>
        <w:tc>
          <w:tcPr>
            <w:tcW w:w="294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584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$0.000042 per share*</w:t>
            </w:r>
          </w:p>
        </w:tc>
        <w:tc>
          <w:tcPr>
            <w:tcW w:w="14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94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Not for trading, but only in connection with the listing of the American Depositary Shares on The Nasdaq Stock Market LLC.</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Yes ☒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“an emerging growth company” in Rule 12b-2 of the Exchange Act: </w:t>
      </w:r>
    </w:p>
    <w:tbl>
      <w:tblPr>
        <w:tblW w:w="5087" w:type="dxa"/>
        <w:jc w:val="left"/>
        <w:tblInd w:w="0" w:type="dxa"/>
        <w:tblLayout w:type="fixed"/>
        <w:tblCellMar>
          <w:top w:w="28" w:type="dxa"/>
          <w:left w:w="28" w:type="dxa"/>
          <w:bottom w:w="28" w:type="dxa"/>
          <w:right w:w="28" w:type="dxa"/>
        </w:tblCellMar>
      </w:tblPr>
      <w:tblGrid>
        <w:gridCol w:w="711"/>
        <w:gridCol w:w="625"/>
        <w:gridCol w:w="629"/>
        <w:gridCol w:w="120"/>
        <w:gridCol w:w="120"/>
        <w:gridCol w:w="121"/>
        <w:gridCol w:w="784"/>
        <w:gridCol w:w="784"/>
        <w:gridCol w:w="787"/>
        <w:gridCol w:w="112"/>
        <w:gridCol w:w="112"/>
        <w:gridCol w:w="182"/>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ind w:left="0" w:right="0" w:firstLine="45"/>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06"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Yes ☐ No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11, 2025, the registrant had 266,141,411 ordinary shares (including shares in form of ADSs), par value $0.000042 per share, outstanding.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Autolus Therapeutics plc (the “Company”) qualifies as a “Foreign Private Issuer,” as defined in Rule 3b-4 under the Securities Exchange Act of 1934 (the “Exchange Act”) and is exempt from filing quarterly reports on Form 10-Q by virtue of Rules 13a-13 and 15d-13 under the Exchange Act. The Company has voluntarily elected to file this Quarterly Report on Form 10-Q for the quarter ended June 30, 2025.</w:t>
      </w:r>
    </w:p>
    <w:p>
      <w:pPr>
        <w:pStyle w:val="TextBody"/>
        <w:bidi w:val="0"/>
        <w:spacing w:before="0" w:after="0"/>
        <w:jc w:val="center"/>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46"/>
        <w:gridCol w:w="3083"/>
        <w:gridCol w:w="3102"/>
        <w:gridCol w:w="109"/>
        <w:gridCol w:w="109"/>
        <w:gridCol w:w="156"/>
      </w:tblGrid>
      <w:tr>
        <w:trPr/>
        <w:tc>
          <w:tcPr>
            <w:tcW w:w="3646"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62484701a6d4c4ba5ff52e1fdcb73b0_16">
              <w:r>
                <w:rPr>
                  <w:rStyle w:val="InternetLink"/>
                  <w:rFonts w:ascii="Times New Roman;serif" w:hAnsi="Times New Roman;serif"/>
                  <w:b w:val="false"/>
                  <w:color w:val="0E32E1"/>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6">
              <w:r>
                <w:rPr>
                  <w:rStyle w:val="InternetLink"/>
                  <w:rFonts w:ascii="Times New Roman;serif" w:hAnsi="Times New Roman;serif"/>
                  <w:b w:val="false"/>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62484701a6d4c4ba5ff52e1fdcb73b0_19">
              <w:r>
                <w:rPr>
                  <w:rStyle w:val="InternetLink"/>
                  <w:rFonts w:ascii="Times New Roman;serif" w:hAnsi="Times New Roman;serif"/>
                  <w:b w:val="false"/>
                  <w:color w:val="000080"/>
                  <w:sz w:val="20"/>
                  <w:u w:val="single"/>
                </w:rPr>
                <w:t xml:space="preserve">Item 1. Financial </w:t>
              </w:r>
            </w:hyperlink>
            <w:hyperlink w:anchor="i962484701a6d4c4ba5ff52e1fdcb73b0_19">
              <w:r>
                <w:rPr>
                  <w:rStyle w:val="InternetLink"/>
                  <w:rFonts w:ascii="Times New Roman;serif" w:hAnsi="Times New Roman;serif"/>
                  <w:b w:val="false"/>
                  <w:color w:val="000080"/>
                  <w:sz w:val="20"/>
                  <w:u w:val="single"/>
                </w:rPr>
                <w:t>I</w:t>
              </w:r>
            </w:hyperlink>
            <w:r>
              <w:rPr>
                <w:rFonts w:ascii="Times New Roman;serif" w:hAnsi="Times New Roman;serif"/>
                <w:b w:val="false"/>
                <w:color w:val="0E32E1"/>
                <w:sz w:val="20"/>
                <w:u w:val="single"/>
              </w:rPr>
              <w:t>nformation</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9">
              <w:r>
                <w:rPr>
                  <w:rStyle w:val="InternetLink"/>
                  <w:rFonts w:ascii="Times New Roman;serif" w:hAnsi="Times New Roman;serif"/>
                  <w:b w:val="false"/>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62484701a6d4c4ba5ff52e1fdcb73b0_22">
              <w:r>
                <w:rPr>
                  <w:rStyle w:val="InternetLink"/>
                  <w:rFonts w:ascii="Times New Roman;serif" w:hAnsi="Times New Roman;serif"/>
                  <w:b w:val="false"/>
                  <w:color w:val="000080"/>
                  <w:sz w:val="20"/>
                  <w:u w:val="single"/>
                </w:rPr>
                <w:t xml:space="preserve">Condensed Consolidated Balance Sheets as of </w:t>
              </w:r>
            </w:hyperlink>
            <w:hyperlink w:anchor="i962484701a6d4c4ba5ff52e1fdcb73b0_22">
              <w:r>
                <w:rPr>
                  <w:rStyle w:val="InternetLink"/>
                  <w:rFonts w:ascii="Times New Roman;serif" w:hAnsi="Times New Roman;serif"/>
                  <w:b w:val="false"/>
                  <w:color w:val="000080"/>
                  <w:sz w:val="20"/>
                  <w:u w:val="single"/>
                </w:rPr>
                <w:t>Ju</w:t>
              </w:r>
            </w:hyperlink>
            <w:hyperlink w:anchor="i962484701a6d4c4ba5ff52e1fdcb73b0_22">
              <w:r>
                <w:rPr>
                  <w:rStyle w:val="InternetLink"/>
                  <w:rFonts w:ascii="Times New Roman;serif" w:hAnsi="Times New Roman;serif"/>
                  <w:b w:val="false"/>
                  <w:color w:val="000080"/>
                  <w:sz w:val="20"/>
                  <w:u w:val="single"/>
                </w:rPr>
                <w:t>ne 30</w:t>
              </w:r>
            </w:hyperlink>
            <w:hyperlink w:anchor="i962484701a6d4c4ba5ff52e1fdcb73b0_22">
              <w:r>
                <w:rPr>
                  <w:rStyle w:val="InternetLink"/>
                  <w:rFonts w:ascii="Times New Roman;serif" w:hAnsi="Times New Roman;serif"/>
                  <w:b w:val="false"/>
                  <w:color w:val="000080"/>
                  <w:sz w:val="20"/>
                  <w:u w:val="single"/>
                </w:rPr>
                <w:t>, 2025 and December 31, 2024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22">
              <w:r>
                <w:rPr>
                  <w:rStyle w:val="InternetLink"/>
                  <w:rFonts w:ascii="Times New Roman;serif" w:hAnsi="Times New Roman;serif"/>
                  <w:b w:val="false"/>
                  <w:color w:val="0E32E1"/>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62484701a6d4c4ba5ff52e1fdcb73b0_25">
              <w:r>
                <w:rPr>
                  <w:rStyle w:val="InternetLink"/>
                  <w:rFonts w:ascii="Times New Roman;serif" w:hAnsi="Times New Roman;serif"/>
                  <w:b w:val="false"/>
                  <w:color w:val="000080"/>
                  <w:sz w:val="20"/>
                  <w:u w:val="single"/>
                </w:rPr>
                <w:t>Condensed Consolidated Statements of Operations and Comprehensive</w:t>
              </w:r>
            </w:hyperlink>
            <w:hyperlink w:anchor="i962484701a6d4c4ba5ff52e1fdcb73b0_25">
              <w:r>
                <w:rPr>
                  <w:rStyle w:val="InternetLink"/>
                  <w:rFonts w:ascii="Times New Roman;serif" w:hAnsi="Times New Roman;serif"/>
                  <w:b w:val="false"/>
                  <w:color w:val="000080"/>
                  <w:sz w:val="20"/>
                  <w:u w:val="single"/>
                </w:rPr>
                <w:t xml:space="preserve"> </w:t>
              </w:r>
            </w:hyperlink>
            <w:hyperlink w:anchor="i962484701a6d4c4ba5ff52e1fdcb73b0_25">
              <w:r>
                <w:rPr>
                  <w:rStyle w:val="InternetLink"/>
                  <w:rFonts w:ascii="Times New Roman;serif" w:hAnsi="Times New Roman;serif"/>
                  <w:b w:val="false"/>
                  <w:color w:val="000080"/>
                  <w:sz w:val="20"/>
                  <w:u w:val="single"/>
                </w:rPr>
                <w:t>Loss</w:t>
              </w:r>
            </w:hyperlink>
            <w:hyperlink w:anchor="i962484701a6d4c4ba5ff52e1fdcb73b0_25">
              <w:r>
                <w:rPr>
                  <w:rStyle w:val="InternetLink"/>
                  <w:rFonts w:ascii="Times New Roman;serif" w:hAnsi="Times New Roman;serif"/>
                  <w:b w:val="false"/>
                  <w:color w:val="000080"/>
                  <w:sz w:val="20"/>
                  <w:u w:val="single"/>
                </w:rPr>
                <w:t xml:space="preserve"> for the Three </w:t>
              </w:r>
            </w:hyperlink>
            <w:hyperlink w:anchor="i962484701a6d4c4ba5ff52e1fdcb73b0_25">
              <w:r>
                <w:rPr>
                  <w:rStyle w:val="InternetLink"/>
                  <w:rFonts w:ascii="Times New Roman;serif" w:hAnsi="Times New Roman;serif"/>
                  <w:b w:val="false"/>
                  <w:color w:val="000080"/>
                  <w:sz w:val="20"/>
                  <w:u w:val="single"/>
                </w:rPr>
                <w:t xml:space="preserve">and </w:t>
              </w:r>
            </w:hyperlink>
            <w:hyperlink w:anchor="i962484701a6d4c4ba5ff52e1fdcb73b0_25">
              <w:r>
                <w:rPr>
                  <w:rStyle w:val="InternetLink"/>
                  <w:rFonts w:ascii="Times New Roman;serif" w:hAnsi="Times New Roman;serif"/>
                  <w:b w:val="false"/>
                  <w:color w:val="000080"/>
                  <w:sz w:val="20"/>
                  <w:u w:val="single"/>
                </w:rPr>
                <w:t>Six</w:t>
              </w:r>
            </w:hyperlink>
            <w:hyperlink w:anchor="i962484701a6d4c4ba5ff52e1fdcb73b0_25">
              <w:r>
                <w:rPr>
                  <w:rStyle w:val="InternetLink"/>
                  <w:rFonts w:ascii="Times New Roman;serif" w:hAnsi="Times New Roman;serif"/>
                  <w:b w:val="false"/>
                  <w:color w:val="000080"/>
                  <w:sz w:val="20"/>
                  <w:u w:val="single"/>
                </w:rPr>
                <w:t xml:space="preserve"> </w:t>
              </w:r>
            </w:hyperlink>
            <w:hyperlink w:anchor="i962484701a6d4c4ba5ff52e1fdcb73b0_25">
              <w:r>
                <w:rPr>
                  <w:rStyle w:val="InternetLink"/>
                  <w:rFonts w:ascii="Times New Roman;serif" w:hAnsi="Times New Roman;serif"/>
                  <w:b w:val="false"/>
                  <w:color w:val="000080"/>
                  <w:sz w:val="20"/>
                  <w:u w:val="single"/>
                </w:rPr>
                <w:t xml:space="preserve">Months Ended </w:t>
              </w:r>
            </w:hyperlink>
            <w:hyperlink w:anchor="i962484701a6d4c4ba5ff52e1fdcb73b0_25">
              <w:r>
                <w:rPr>
                  <w:rStyle w:val="InternetLink"/>
                  <w:rFonts w:ascii="Times New Roman;serif" w:hAnsi="Times New Roman;serif"/>
                  <w:b w:val="false"/>
                  <w:color w:val="000080"/>
                  <w:sz w:val="20"/>
                  <w:u w:val="single"/>
                </w:rPr>
                <w:t>June 30, 2025</w:t>
              </w:r>
            </w:hyperlink>
            <w:hyperlink w:anchor="i962484701a6d4c4ba5ff52e1fdcb73b0_25">
              <w:r>
                <w:rPr>
                  <w:rStyle w:val="InternetLink"/>
                  <w:rFonts w:ascii="Times New Roman;serif" w:hAnsi="Times New Roman;serif"/>
                  <w:b w:val="false"/>
                  <w:color w:val="000080"/>
                  <w:sz w:val="20"/>
                  <w:u w:val="single"/>
                </w:rPr>
                <w:t xml:space="preserve"> and 2024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25">
              <w:r>
                <w:rPr>
                  <w:rStyle w:val="InternetLink"/>
                  <w:rFonts w:ascii="Times New Roman;serif" w:hAnsi="Times New Roman;serif"/>
                  <w:b w:val="false"/>
                  <w:color w:val="0000FF"/>
                  <w:sz w:val="20"/>
                  <w:u w:val="single"/>
                </w:rPr>
                <w:t>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62484701a6d4c4ba5ff52e1fdcb73b0_31">
              <w:r>
                <w:rPr>
                  <w:rStyle w:val="InternetLink"/>
                  <w:rFonts w:ascii="Times New Roman;serif" w:hAnsi="Times New Roman;serif"/>
                  <w:b w:val="false"/>
                  <w:color w:val="000080"/>
                  <w:sz w:val="20"/>
                  <w:u w:val="single"/>
                </w:rPr>
                <w:t xml:space="preserve">Condensed Consolidated Statements of Changes in Shareholders’ Equity for the Three </w:t>
              </w:r>
            </w:hyperlink>
            <w:hyperlink w:anchor="i962484701a6d4c4ba5ff52e1fdcb73b0_31">
              <w:r>
                <w:rPr>
                  <w:rStyle w:val="InternetLink"/>
                  <w:rFonts w:ascii="Times New Roman;serif" w:hAnsi="Times New Roman;serif"/>
                  <w:b w:val="false"/>
                  <w:color w:val="000080"/>
                  <w:sz w:val="20"/>
                  <w:u w:val="single"/>
                </w:rPr>
                <w:t xml:space="preserve">and Six </w:t>
              </w:r>
            </w:hyperlink>
            <w:hyperlink w:anchor="i962484701a6d4c4ba5ff52e1fdcb73b0_31">
              <w:r>
                <w:rPr>
                  <w:rStyle w:val="InternetLink"/>
                  <w:rFonts w:ascii="Times New Roman;serif" w:hAnsi="Times New Roman;serif"/>
                  <w:b w:val="false"/>
                  <w:color w:val="000080"/>
                  <w:sz w:val="20"/>
                  <w:u w:val="single"/>
                </w:rPr>
                <w:t xml:space="preserve">Months Ended </w:t>
              </w:r>
            </w:hyperlink>
            <w:hyperlink w:anchor="i962484701a6d4c4ba5ff52e1fdcb73b0_25">
              <w:r>
                <w:rPr>
                  <w:rStyle w:val="InternetLink"/>
                  <w:rFonts w:ascii="Times New Roman;serif" w:hAnsi="Times New Roman;serif"/>
                  <w:b w:val="false"/>
                  <w:color w:val="000080"/>
                  <w:sz w:val="20"/>
                  <w:u w:val="single"/>
                </w:rPr>
                <w:t>June 30, 2025</w:t>
              </w:r>
            </w:hyperlink>
            <w:hyperlink w:anchor="i962484701a6d4c4ba5ff52e1fdcb73b0_31">
              <w:r>
                <w:rPr>
                  <w:rStyle w:val="InternetLink"/>
                  <w:rFonts w:ascii="Times New Roman;serif" w:hAnsi="Times New Roman;serif"/>
                  <w:b w:val="false"/>
                  <w:color w:val="000080"/>
                  <w:sz w:val="20"/>
                  <w:u w:val="single"/>
                </w:rPr>
                <w:t xml:space="preserve"> and 2024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31">
              <w:r>
                <w:rPr>
                  <w:rStyle w:val="InternetLink"/>
                  <w:rFonts w:ascii="Times New Roman;serif" w:hAnsi="Times New Roman;serif"/>
                  <w:b w:val="false"/>
                  <w:color w:val="0E32E1"/>
                  <w:sz w:val="20"/>
                  <w:u w:val="single"/>
                </w:rPr>
                <w:t>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62484701a6d4c4ba5ff52e1fdcb73b0_34">
              <w:r>
                <w:rPr>
                  <w:rStyle w:val="InternetLink"/>
                  <w:rFonts w:ascii="Times New Roman;serif" w:hAnsi="Times New Roman;serif"/>
                  <w:b w:val="false"/>
                  <w:color w:val="000080"/>
                  <w:sz w:val="20"/>
                  <w:u w:val="single"/>
                </w:rPr>
                <w:t xml:space="preserve">Condensed Consolidated Statements of Cash Flows for the </w:t>
              </w:r>
            </w:hyperlink>
            <w:hyperlink w:anchor="i962484701a6d4c4ba5ff52e1fdcb73b0_34">
              <w:r>
                <w:rPr>
                  <w:rStyle w:val="InternetLink"/>
                  <w:rFonts w:ascii="Times New Roman;serif" w:hAnsi="Times New Roman;serif"/>
                  <w:b w:val="false"/>
                  <w:color w:val="000080"/>
                  <w:sz w:val="20"/>
                  <w:u w:val="single"/>
                </w:rPr>
                <w:t>Six</w:t>
              </w:r>
            </w:hyperlink>
            <w:hyperlink w:anchor="i962484701a6d4c4ba5ff52e1fdcb73b0_34">
              <w:r>
                <w:rPr>
                  <w:rStyle w:val="InternetLink"/>
                  <w:rFonts w:ascii="Times New Roman;serif" w:hAnsi="Times New Roman;serif"/>
                  <w:b w:val="false"/>
                  <w:color w:val="000080"/>
                  <w:sz w:val="20"/>
                  <w:u w:val="single"/>
                </w:rPr>
                <w:t xml:space="preserve"> Months Ended </w:t>
              </w:r>
            </w:hyperlink>
            <w:hyperlink w:anchor="i962484701a6d4c4ba5ff52e1fdcb73b0_25">
              <w:r>
                <w:rPr>
                  <w:rStyle w:val="InternetLink"/>
                  <w:rFonts w:ascii="Times New Roman;serif" w:hAnsi="Times New Roman;serif"/>
                  <w:b w:val="false"/>
                  <w:color w:val="000080"/>
                  <w:sz w:val="20"/>
                  <w:u w:val="single"/>
                </w:rPr>
                <w:t>June 30, 2025</w:t>
              </w:r>
            </w:hyperlink>
            <w:hyperlink w:anchor="i962484701a6d4c4ba5ff52e1fdcb73b0_34">
              <w:r>
                <w:rPr>
                  <w:rStyle w:val="InternetLink"/>
                  <w:rFonts w:ascii="Times New Roman;serif" w:hAnsi="Times New Roman;serif"/>
                  <w:b w:val="false"/>
                  <w:color w:val="000080"/>
                  <w:sz w:val="20"/>
                  <w:u w:val="single"/>
                </w:rPr>
                <w:t xml:space="preserve"> and 2024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34">
              <w:r>
                <w:rPr>
                  <w:rStyle w:val="InternetLink"/>
                  <w:rFonts w:ascii="Times New Roman;serif" w:hAnsi="Times New Roman;serif"/>
                  <w:b w:val="false"/>
                  <w:color w:val="0E32E1"/>
                  <w:sz w:val="20"/>
                  <w:u w:val="single"/>
                </w:rPr>
                <w:t>10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62484701a6d4c4ba5ff52e1fdcb73b0_37">
              <w:r>
                <w:rPr>
                  <w:rStyle w:val="InternetLink"/>
                  <w:rFonts w:ascii="Times New Roman;serif" w:hAnsi="Times New Roman;serif"/>
                  <w:b w:val="false"/>
                  <w:color w:val="0E32E1"/>
                  <w:sz w:val="20"/>
                  <w:u w:val="single"/>
                </w:rPr>
                <w:t>Notes to the Unaudited Condensed Consolidated Interim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37">
              <w:r>
                <w:rPr>
                  <w:rStyle w:val="InternetLink"/>
                  <w:rFonts w:ascii="Times New Roman;serif" w:hAnsi="Times New Roman;serif"/>
                  <w:b w:val="false"/>
                  <w:color w:val="0E32E1"/>
                  <w:sz w:val="20"/>
                  <w:u w:val="single"/>
                </w:rPr>
                <w:t>12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15">
              <w:r>
                <w:rPr>
                  <w:rStyle w:val="InternetLink"/>
                  <w:rFonts w:ascii="Times New Roman;serif" w:hAnsi="Times New Roman;serif"/>
                  <w:b w:val="false"/>
                  <w:color w:val="0E32E1"/>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15">
              <w:r>
                <w:rPr>
                  <w:rStyle w:val="InternetLink"/>
                  <w:rFonts w:ascii="Times New Roman;serif" w:hAnsi="Times New Roman;serif"/>
                  <w:b w:val="false"/>
                  <w:color w:val="0000FF"/>
                  <w:sz w:val="20"/>
                  <w:u w:val="single"/>
                </w:rPr>
                <w:t>33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45">
              <w:r>
                <w:rPr>
                  <w:rStyle w:val="InternetLink"/>
                  <w:rFonts w:ascii="Times New Roman;serif" w:hAnsi="Times New Roman;serif"/>
                  <w:b w:val="false"/>
                  <w:color w:val="0E32E1"/>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45">
              <w:r>
                <w:rPr>
                  <w:rStyle w:val="InternetLink"/>
                  <w:rFonts w:ascii="Times New Roman;serif" w:hAnsi="Times New Roman;serif"/>
                  <w:b w:val="false"/>
                  <w:color w:val="0E32E1"/>
                  <w:sz w:val="20"/>
                  <w:u w:val="single"/>
                </w:rPr>
                <w:t>48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48">
              <w:r>
                <w:rPr>
                  <w:rStyle w:val="InternetLink"/>
                  <w:rFonts w:ascii="Times New Roman;serif" w:hAnsi="Times New Roman;serif"/>
                  <w:b w:val="false"/>
                  <w:color w:val="0E32E1"/>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48">
              <w:r>
                <w:rPr>
                  <w:rStyle w:val="InternetLink"/>
                  <w:rFonts w:ascii="Times New Roman;serif" w:hAnsi="Times New Roman;serif"/>
                  <w:b w:val="false"/>
                  <w:color w:val="0E32E1"/>
                  <w:sz w:val="20"/>
                  <w:u w:val="single"/>
                </w:rPr>
                <w:t>49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62484701a6d4c4ba5ff52e1fdcb73b0_151">
              <w:r>
                <w:rPr>
                  <w:rStyle w:val="InternetLink"/>
                  <w:rFonts w:ascii="Times New Roman;serif" w:hAnsi="Times New Roman;serif"/>
                  <w:b w:val="false"/>
                  <w:color w:val="0E32E1"/>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51">
              <w:r>
                <w:rPr>
                  <w:rStyle w:val="InternetLink"/>
                  <w:rFonts w:ascii="Times New Roman;serif" w:hAnsi="Times New Roman;serif"/>
                  <w:b w:val="false"/>
                  <w:color w:val="0E32E1"/>
                  <w:sz w:val="20"/>
                  <w:u w:val="single"/>
                </w:rPr>
                <w:t>49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54">
              <w:r>
                <w:rPr>
                  <w:rStyle w:val="InternetLink"/>
                  <w:rFonts w:ascii="Times New Roman;serif" w:hAnsi="Times New Roman;serif"/>
                  <w:b w:val="false"/>
                  <w:color w:val="0E32E1"/>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54">
              <w:r>
                <w:rPr>
                  <w:rStyle w:val="InternetLink"/>
                  <w:rFonts w:ascii="Times New Roman;serif" w:hAnsi="Times New Roman;serif"/>
                  <w:b w:val="false"/>
                  <w:color w:val="0E32E1"/>
                  <w:sz w:val="20"/>
                  <w:u w:val="single"/>
                </w:rPr>
                <w:t>49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57">
              <w:r>
                <w:rPr>
                  <w:rStyle w:val="InternetLink"/>
                  <w:rFonts w:ascii="Times New Roman;serif" w:hAnsi="Times New Roman;serif"/>
                  <w:b w:val="false"/>
                  <w:color w:val="0E32E1"/>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57">
              <w:r>
                <w:rPr>
                  <w:rStyle w:val="InternetLink"/>
                  <w:rFonts w:ascii="Times New Roman;serif" w:hAnsi="Times New Roman;serif"/>
                  <w:b w:val="false"/>
                  <w:color w:val="0E32E1"/>
                  <w:sz w:val="20"/>
                  <w:u w:val="single"/>
                </w:rPr>
                <w:t>49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60">
              <w:r>
                <w:rPr>
                  <w:rStyle w:val="InternetLink"/>
                  <w:rFonts w:ascii="Times New Roman;serif" w:hAnsi="Times New Roman;serif"/>
                  <w:b w:val="false"/>
                  <w:color w:val="0E32E1"/>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60">
              <w:r>
                <w:rPr>
                  <w:rStyle w:val="InternetLink"/>
                  <w:rFonts w:ascii="Times New Roman;serif" w:hAnsi="Times New Roman;serif"/>
                  <w:b w:val="false"/>
                  <w:color w:val="0E32E1"/>
                  <w:sz w:val="20"/>
                  <w:u w:val="single"/>
                </w:rPr>
                <w:t>51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63">
              <w:r>
                <w:rPr>
                  <w:rStyle w:val="InternetLink"/>
                  <w:rFonts w:ascii="Times New Roman;serif" w:hAnsi="Times New Roman;serif"/>
                  <w:b w:val="false"/>
                  <w:color w:val="0E32E1"/>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63">
              <w:r>
                <w:rPr>
                  <w:rStyle w:val="InternetLink"/>
                  <w:rFonts w:ascii="Times New Roman;serif" w:hAnsi="Times New Roman;serif"/>
                  <w:b w:val="false"/>
                  <w:color w:val="0E32E1"/>
                  <w:sz w:val="20"/>
                  <w:u w:val="single"/>
                </w:rPr>
                <w:t>51</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66">
              <w:r>
                <w:rPr>
                  <w:rStyle w:val="InternetLink"/>
                  <w:rFonts w:ascii="Times New Roman;serif" w:hAnsi="Times New Roman;serif"/>
                  <w:b w:val="false"/>
                  <w:color w:val="0E32E1"/>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66">
              <w:r>
                <w:rPr>
                  <w:rStyle w:val="InternetLink"/>
                  <w:rFonts w:ascii="Times New Roman;serif" w:hAnsi="Times New Roman;serif"/>
                  <w:b w:val="false"/>
                  <w:color w:val="0E32E1"/>
                  <w:sz w:val="20"/>
                  <w:u w:val="single"/>
                </w:rPr>
                <w:t>52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69">
              <w:r>
                <w:rPr>
                  <w:rStyle w:val="InternetLink"/>
                  <w:rFonts w:ascii="Times New Roman;serif" w:hAnsi="Times New Roman;serif"/>
                  <w:b w:val="false"/>
                  <w:color w:val="0E32E1"/>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69">
              <w:r>
                <w:rPr>
                  <w:rStyle w:val="InternetLink"/>
                  <w:rFonts w:ascii="Times New Roman;serif" w:hAnsi="Times New Roman;serif"/>
                  <w:b w:val="false"/>
                  <w:color w:val="0E32E1"/>
                  <w:sz w:val="20"/>
                  <w:u w:val="single"/>
                </w:rPr>
                <w:t>52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left"/>
              <w:rPr/>
            </w:pPr>
            <w:hyperlink w:anchor="i962484701a6d4c4ba5ff52e1fdcb73b0_175">
              <w:r>
                <w:rPr>
                  <w:rStyle w:val="InternetLink"/>
                  <w:rFonts w:ascii="Times New Roman;serif" w:hAnsi="Times New Roman;serif"/>
                  <w:b w:val="false"/>
                  <w:color w:val="0E32E1"/>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75">
              <w:r>
                <w:rPr>
                  <w:rStyle w:val="InternetLink"/>
                  <w:rFonts w:ascii="Times New Roman;serif" w:hAnsi="Times New Roman;serif"/>
                  <w:b w:val="false"/>
                  <w:color w:val="0E32E1"/>
                  <w:sz w:val="20"/>
                  <w:u w:val="single"/>
                </w:rPr>
                <w:t>52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962484701a6d4c4ba5ff52e1fdcb73b0_178">
              <w:r>
                <w:rPr>
                  <w:rStyle w:val="InternetLink"/>
                  <w:rFonts w:ascii="Times New Roman;serif" w:hAnsi="Times New Roman;serif"/>
                  <w:b w:val="false"/>
                  <w:color w:val="0E32E1"/>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62484701a6d4c4ba5ff52e1fdcb73b0_178">
              <w:r>
                <w:rPr>
                  <w:rStyle w:val="InternetLink"/>
                  <w:rFonts w:ascii="Times New Roman;serif" w:hAnsi="Times New Roman;serif"/>
                  <w:b w:val="false"/>
                  <w:color w:val="0E32E1"/>
                  <w:sz w:val="20"/>
                  <w:u w:val="singl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context otherwise requires, all references in this Quarterly Report on Form 10-Q to “Autolus,” the “Group,” the “company,” “we,” “us” and “our” refer to Autolus Therapeutics plc and its consolidated subsidiaries, except where the context otherwise requires.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Autolus, AUCATZYL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our other trademarks or service marks appearing in this Quarterly Report on Form 10-Q are our property. Solely for convenience, the trademarks and trade names in this Quarterly Report on Form 10-Q are referred to without the </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symbols, but such references should not be construed as any indicator that their respective owners will not assert, to the fullest extent under applicable law, their rights thereto. Products or service names of other companies mentioned in this Quarterly Report on Form 10-Q may be trademarks, trade names or service marks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Quarterly Report on Form 10-Q, we caution you that these statements are based on a combination of facts and factors currently known by us and our expectations of the future, about which we cannot be 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on Form 10-Q include, among other things, statements about: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therapeutic potential and expected clinical benefits of AUCATZYL/obe-cel (obecabtagene autoleucel) for adult patients with relapsed or refractory B-cell precursor acute lymphoblastic leukemia (“r/r B-ALL”);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generate revenues from AUCATZYL, which is dependent upon maintaining significant market acceptance among physicians, patients and healthcare payors;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maintain regulatory approval of AUCATZYL in the United States, to obtain and maintain regulatory approval for obe-cel for adult r/r B-ALL in additional territories and the timing thereof, and to obtain and maintain regulatory approval of our other product candidates in the indications for which we plan to develop them, and any related restrictions, limitations or warnings in the label of an approved drug or therapy;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regarding the commercialization and marketing of AUCATZYL for adult r/r B-ALL, including expanding into additional territories and the related timing of reaching patients in such territories;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development of our commercial product and product candidates, including statements regarding the initiation, timing, progress and the results of clinical studies or trials and related preparatory work, the period during which the results of the trials will become available and our research and development programs;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estimates regarding expenses, future revenue, capital requirements and needs for additional financing;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commercialization, marketing and manufacturing capabilities and strategy for AUCATZYL, including our ability to successfully recruit and retain sales and marketing personnel and to successfully build the market for AUCATZYL;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about the willingness of healthcare providers to recommend AUCATZYL to people with adult r/r B-ALL;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impacts of public health crises and their effects on our operations and business, including interruption of key clinical trial activities, such as clinical trial site monitoring, access to capital, and potential disruption in the operations and business of third-party manufacturers, clinical sites, contract research organizations (“CROs”), other service providers and collaborators with whom we conduct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expectations regarding our ability to obtain and maintain intellectual property protection and our ability to license additional intellectual property relating to our product candidates from third parties and to comply with our existing license agreements;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plans to research, develop, manufacture and commercialize our product candidates;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potential benefits of our commercial product and product candidates;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or likelihood of regulatory filings and approvals for our product candidates, along with regulatory developments in the US, European Union (“EU”), the United Kingdom (“U.K.”) and other foreign countries;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size and growth potential of the markets for our commercial product and product candidates, if approved, and the rate and degree of market acceptance of our commercial product and product candidates, including reimbursement that may be received from payors;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need for and ability to obtain additional funding, on favorable terms or at 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our plans to collaborate, or statements regarding our current collaborations with BioNTech SE (“BioNTech”) and others;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license and option agreement with BioNTech, including our potential to receive milestone payments and royalties under the agreement;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attract collaborators with development, regulatory and commercialization expertise;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identify, recruit and retain qualified employees and key personnel;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contract with third-party suppliers and manufacturers and their ability to perform adequately;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scalability and commercial viability of our manufacturing methods and processes;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success of competing therapies that are or may become available;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whether we are classified as a Passive Foreign Investment Company, for current and future periods;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additional costs and expenses related to our decision to voluntarily comply with certain United States domestic issuer reporting obligations before we are required to do so;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any other factors which may impact our financial results or future trading prices of our American Depositary Shares (“ADSs”), and the impact of securities analysts’ reports on these prices. </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macroeconomic events, including inflation, changes in interest rates, changes in trade policies, political changes, unfavorable general market conditions and the impacts of the war in Ukraine, the conflicts involving Israel, and global geopolitical tensions,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 performance or achievements expressed or implied by these forward-looking statements. You are urged to carefully review the disclosures we make concerning these risks and other factors that may affect our business and operating results in this Quarterly Report on Form 10-Q. You are cautioned not to place undue reliance on these forward-looking statements, which speak only as of the date of this document. Except as required by law, we do not intend, and undertake no obligation, to update any forward-looking information to reflect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513"/>
        <w:gridCol w:w="2139"/>
        <w:gridCol w:w="1930"/>
        <w:gridCol w:w="109"/>
        <w:gridCol w:w="109"/>
        <w:gridCol w:w="109"/>
        <w:gridCol w:w="155"/>
        <w:gridCol w:w="155"/>
        <w:gridCol w:w="156"/>
        <w:gridCol w:w="109"/>
        <w:gridCol w:w="109"/>
        <w:gridCol w:w="109"/>
        <w:gridCol w:w="196"/>
        <w:gridCol w:w="751"/>
        <w:gridCol w:w="109"/>
        <w:gridCol w:w="109"/>
        <w:gridCol w:w="109"/>
        <w:gridCol w:w="109"/>
        <w:gridCol w:w="199"/>
        <w:gridCol w:w="763"/>
        <w:gridCol w:w="158"/>
      </w:tblGrid>
      <w:tr>
        <w:trPr/>
        <w:tc>
          <w:tcPr>
            <w:tcW w:w="251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360,643 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660,929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720,981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782,725</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Liabilities related to future royalties and milestones, net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60,743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Liabilities related to future royalties and milestones, net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374,517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355,400</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Ordinary shares, $0.000042 par value; 490,909,783 and 490,909,783 shares authorized as of June 30, 2025 and as of December 31, 2024, respectively; 266,137,837 and 266,121,689, shares issued at June 30, 2025 and December 31, 2024, respectively; 266,141,411 and 266,125,337, shares outstanding at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Deferred shares, £0.00001 par value; 34,425 shares authorized, issued and outstanding at June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Deferred B shares, £0.00099 par value; 88,893,548 shares authorized, issued and outstanding at June 30,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Deferred C shares, £0.000008 par value; 1 share authorized, issued and outstanding at June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1,555,593 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(1,099,224)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346,464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427,325</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720,981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782,725</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 and Comprehensive Loss</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06"/>
        <w:gridCol w:w="664"/>
        <w:gridCol w:w="667"/>
        <w:gridCol w:w="109"/>
        <w:gridCol w:w="109"/>
        <w:gridCol w:w="109"/>
        <w:gridCol w:w="165"/>
        <w:gridCol w:w="165"/>
        <w:gridCol w:w="166"/>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37"/>
        <w:gridCol w:w="949"/>
        <w:gridCol w:w="109"/>
        <w:gridCol w:w="157"/>
      </w:tblGrid>
      <w:tr>
        <w:trPr/>
        <w:tc>
          <w:tcPr>
            <w:tcW w:w="140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operating lease right-of-use assets and related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(47,917)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holding (losses) gains on available-for-sale debt securities, net of tax of $0, $0, $0 and $0,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(28,949)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(57,246)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(88,045)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(109,878)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ordinary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basic and diluted 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266,141,411 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266,025,783 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266,134,021 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255,131,873 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100" w:after="283"/>
        <w:jc w:val="center"/>
        <w:rPr>
          <w:rFonts w:ascii="Times New Roman;serif" w:hAnsi="Times New Roman;serif"/>
          <w:b/>
          <w:color w:val="000000"/>
          <w:sz w:val="20"/>
        </w:rPr>
      </w:pPr>
      <w:r>
        <w:rPr>
          <w:rFonts w:ascii="Times New Roman;serif" w:hAnsi="Times New Roman;serif"/>
          <w:b/>
          <w:color w:val="000000"/>
          <w:sz w:val="20"/>
        </w:rPr>
        <w:t xml:space="preserve">AUTOLUS THERAPEUTICS PLC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Shareholders’ Equity</w:t>
      </w:r>
    </w:p>
    <w:p>
      <w:pPr>
        <w:pStyle w:val="TextBody"/>
        <w:bidi w:val="0"/>
        <w:spacing w:lineRule="auto" w:line="345"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amounts)</w:t>
      </w:r>
    </w:p>
    <w:tbl>
      <w:tblPr>
        <w:tblW w:w="16209" w:type="dxa"/>
        <w:jc w:val="center"/>
        <w:tblInd w:w="0" w:type="dxa"/>
        <w:tblLayout w:type="fixed"/>
        <w:tblCellMar>
          <w:top w:w="28" w:type="dxa"/>
          <w:left w:w="28" w:type="dxa"/>
          <w:bottom w:w="28" w:type="dxa"/>
          <w:right w:w="28" w:type="dxa"/>
        </w:tblCellMar>
      </w:tblPr>
      <w:tblGrid>
        <w:gridCol w:w="634"/>
        <w:gridCol w:w="268"/>
        <w:gridCol w:w="269"/>
        <w:gridCol w:w="533"/>
        <w:gridCol w:w="533"/>
        <w:gridCol w:w="196"/>
        <w:gridCol w:w="109"/>
        <w:gridCol w:w="109"/>
        <w:gridCol w:w="109"/>
        <w:gridCol w:w="208"/>
        <w:gridCol w:w="367"/>
        <w:gridCol w:w="116"/>
        <w:gridCol w:w="109"/>
        <w:gridCol w:w="109"/>
        <w:gridCol w:w="109"/>
        <w:gridCol w:w="330"/>
        <w:gridCol w:w="331"/>
        <w:gridCol w:w="196"/>
        <w:gridCol w:w="109"/>
        <w:gridCol w:w="109"/>
        <w:gridCol w:w="109"/>
        <w:gridCol w:w="196"/>
        <w:gridCol w:w="406"/>
        <w:gridCol w:w="109"/>
        <w:gridCol w:w="109"/>
        <w:gridCol w:w="109"/>
        <w:gridCol w:w="109"/>
        <w:gridCol w:w="488"/>
        <w:gridCol w:w="488"/>
        <w:gridCol w:w="196"/>
        <w:gridCol w:w="109"/>
        <w:gridCol w:w="109"/>
        <w:gridCol w:w="109"/>
        <w:gridCol w:w="196"/>
        <w:gridCol w:w="436"/>
        <w:gridCol w:w="109"/>
        <w:gridCol w:w="109"/>
        <w:gridCol w:w="109"/>
        <w:gridCol w:w="109"/>
        <w:gridCol w:w="203"/>
        <w:gridCol w:w="203"/>
        <w:gridCol w:w="196"/>
        <w:gridCol w:w="109"/>
        <w:gridCol w:w="109"/>
        <w:gridCol w:w="109"/>
        <w:gridCol w:w="196"/>
        <w:gridCol w:w="406"/>
        <w:gridCol w:w="109"/>
        <w:gridCol w:w="109"/>
        <w:gridCol w:w="109"/>
        <w:gridCol w:w="109"/>
        <w:gridCol w:w="196"/>
        <w:gridCol w:w="886"/>
        <w:gridCol w:w="109"/>
        <w:gridCol w:w="109"/>
        <w:gridCol w:w="109"/>
        <w:gridCol w:w="109"/>
        <w:gridCol w:w="237"/>
        <w:gridCol w:w="801"/>
        <w:gridCol w:w="133"/>
        <w:gridCol w:w="109"/>
        <w:gridCol w:w="109"/>
        <w:gridCol w:w="109"/>
        <w:gridCol w:w="196"/>
        <w:gridCol w:w="886"/>
        <w:gridCol w:w="109"/>
        <w:gridCol w:w="327"/>
        <w:gridCol w:w="203"/>
        <w:gridCol w:w="778"/>
        <w:gridCol w:w="160"/>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B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266,121,689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1,555,593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(29,174)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(1,099,224)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427,325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 awards net of shares withheld to cover tax withholding</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266,125,337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1,558,469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(18,106)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(1,169,385)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371,108</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 awards net of shares withheld to cover tax withholding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266,137,837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1,562,774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862</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(1,217,302)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346,464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100" w:after="283"/>
        <w:jc w:val="center"/>
        <w:rPr>
          <w:rFonts w:ascii="Times New Roman;serif" w:hAnsi="Times New Roman;serif"/>
          <w:b/>
          <w:color w:val="000000"/>
          <w:sz w:val="20"/>
        </w:rPr>
      </w:pPr>
      <w:r>
        <w:rPr>
          <w:rFonts w:ascii="Times New Roman;serif" w:hAnsi="Times New Roman;serif"/>
          <w:b/>
          <w:color w:val="000000"/>
          <w:sz w:val="20"/>
        </w:rPr>
        <w:t xml:space="preserve">AUTOLUS THERAPEUTICS PLC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Shareholders’ Equity</w:t>
      </w:r>
    </w:p>
    <w:p>
      <w:pPr>
        <w:pStyle w:val="TextBody"/>
        <w:bidi w:val="0"/>
        <w:spacing w:lineRule="auto" w:line="345"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amounts)</w:t>
      </w:r>
    </w:p>
    <w:tbl>
      <w:tblPr>
        <w:tblW w:w="16074" w:type="dxa"/>
        <w:jc w:val="center"/>
        <w:tblInd w:w="0" w:type="dxa"/>
        <w:tblLayout w:type="fixed"/>
        <w:tblCellMar>
          <w:top w:w="28" w:type="dxa"/>
          <w:left w:w="28" w:type="dxa"/>
          <w:bottom w:w="28" w:type="dxa"/>
          <w:right w:w="28" w:type="dxa"/>
        </w:tblCellMar>
      </w:tblPr>
      <w:tblGrid>
        <w:gridCol w:w="634"/>
        <w:gridCol w:w="268"/>
        <w:gridCol w:w="269"/>
        <w:gridCol w:w="533"/>
        <w:gridCol w:w="533"/>
        <w:gridCol w:w="196"/>
        <w:gridCol w:w="109"/>
        <w:gridCol w:w="109"/>
        <w:gridCol w:w="109"/>
        <w:gridCol w:w="208"/>
        <w:gridCol w:w="367"/>
        <w:gridCol w:w="116"/>
        <w:gridCol w:w="109"/>
        <w:gridCol w:w="109"/>
        <w:gridCol w:w="109"/>
        <w:gridCol w:w="330"/>
        <w:gridCol w:w="331"/>
        <w:gridCol w:w="196"/>
        <w:gridCol w:w="109"/>
        <w:gridCol w:w="109"/>
        <w:gridCol w:w="109"/>
        <w:gridCol w:w="196"/>
        <w:gridCol w:w="406"/>
        <w:gridCol w:w="109"/>
        <w:gridCol w:w="109"/>
        <w:gridCol w:w="109"/>
        <w:gridCol w:w="109"/>
        <w:gridCol w:w="488"/>
        <w:gridCol w:w="488"/>
        <w:gridCol w:w="196"/>
        <w:gridCol w:w="109"/>
        <w:gridCol w:w="109"/>
        <w:gridCol w:w="109"/>
        <w:gridCol w:w="196"/>
        <w:gridCol w:w="436"/>
        <w:gridCol w:w="109"/>
        <w:gridCol w:w="109"/>
        <w:gridCol w:w="109"/>
        <w:gridCol w:w="109"/>
        <w:gridCol w:w="203"/>
        <w:gridCol w:w="203"/>
        <w:gridCol w:w="196"/>
        <w:gridCol w:w="109"/>
        <w:gridCol w:w="109"/>
        <w:gridCol w:w="109"/>
        <w:gridCol w:w="196"/>
        <w:gridCol w:w="406"/>
        <w:gridCol w:w="109"/>
        <w:gridCol w:w="109"/>
        <w:gridCol w:w="109"/>
        <w:gridCol w:w="109"/>
        <w:gridCol w:w="196"/>
        <w:gridCol w:w="886"/>
        <w:gridCol w:w="109"/>
        <w:gridCol w:w="109"/>
        <w:gridCol w:w="109"/>
        <w:gridCol w:w="109"/>
        <w:gridCol w:w="237"/>
        <w:gridCol w:w="801"/>
        <w:gridCol w:w="133"/>
        <w:gridCol w:w="109"/>
        <w:gridCol w:w="109"/>
        <w:gridCol w:w="109"/>
        <w:gridCol w:w="196"/>
        <w:gridCol w:w="751"/>
        <w:gridCol w:w="109"/>
        <w:gridCol w:w="327"/>
        <w:gridCol w:w="203"/>
        <w:gridCol w:w="778"/>
        <w:gridCol w:w="160"/>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B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C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174,101,361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1,018,902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(28,992)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(878,562)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111,474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net of issuance costs</w:t>
            </w:r>
          </w:p>
        </w:tc>
        <w:tc>
          <w:tcPr>
            <w:tcW w:w="10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91,666,669 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520,613 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520,617 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 awards net of shares withheld to cover tax withholding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share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265,928,023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1,542,086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(28,934)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(931,252)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582,030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 awards net of shares withheld to cover tax withholding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share options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(58,272)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266,045,468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34,425</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88,893,548</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1,545,146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(27,908)</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(989,524)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527,844</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22"/>
        <w:gridCol w:w="2332"/>
        <w:gridCol w:w="2349"/>
        <w:gridCol w:w="211"/>
        <w:gridCol w:w="893"/>
        <w:gridCol w:w="109"/>
        <w:gridCol w:w="109"/>
        <w:gridCol w:w="109"/>
        <w:gridCol w:w="109"/>
        <w:gridCol w:w="211"/>
        <w:gridCol w:w="893"/>
        <w:gridCol w:w="158"/>
      </w:tblGrid>
      <w:tr>
        <w:trPr/>
        <w:tc>
          <w:tcPr>
            <w:tcW w:w="2722"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Adjustments to reconcile net loss to net cash used in operating activities: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on property and equipment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 reserves and write-offs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net of amounts capitalized</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accrued on liabilities related to future royalties and milestones,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available-for-sale securities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differences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operating lease right-of-use assets and related property and equipment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(increase) in prepaid expenses and other current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prepaid expenses and other non-current assets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inventories,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payable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deferred revenue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in accrued expenses and other liabilities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operating lease liability</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(91,597)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and equipment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 available-for-sale debt securities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marketable securities: available-for-sale debt securities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of issuance of ordinary shares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equity issuance costs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share options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liabilities related to future royalties and milestones,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of issuance costs related to the liabilities related to future royalties and milestones,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of revenue share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559,362</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Net (decrease) increase in cash, cash equivalents and restricted cash</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466,624</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228,805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240,335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706,959</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80"/>
        <w:gridCol w:w="2303"/>
        <w:gridCol w:w="2309"/>
        <w:gridCol w:w="211"/>
        <w:gridCol w:w="841"/>
        <w:gridCol w:w="109"/>
        <w:gridCol w:w="109"/>
        <w:gridCol w:w="109"/>
        <w:gridCol w:w="109"/>
        <w:gridCol w:w="211"/>
        <w:gridCol w:w="841"/>
        <w:gridCol w:w="109"/>
        <w:gridCol w:w="109"/>
        <w:gridCol w:w="155"/>
      </w:tblGrid>
      <w:tr>
        <w:trPr/>
        <w:tc>
          <w:tcPr>
            <w:tcW w:w="268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Unaudited supplemental cash flow information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Unaudited supplemental non-cash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purchases included in accounts payable or accrued</w:t>
              <w:br/>
              <w:t>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Capitalized implementation costs included in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reported within the consolidated balance sheets: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125,332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706,959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345"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Interim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the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Autolus Therapeutics plc (with its subsidiaries, collectively, “Autolus” or the “Company”) is an early commercial-stage biopharmaceutical company developing next-generation programmed T cell therapies for the treatment of cancer and autoimmune diseases. Using its broad suite of proprietary and modular T cell programming technologies, the Company is engineering precisely targeted, controlled and highly active T cell therapies that are designed to better recognize target cells, break down their defense mechanisms and attack and kill these cells. The Company believes its programmed T cell therapies have the potential to be best-in- class and to offer patients substantial benefits over the existing standard of care, including the potential for cure in some patients. On November 8, 2024 Autolus was notified by the United States Food and Drug Administration (the “FDA”) that its biologics license application (“BLA”) was approved, allowing for the marketing of AUCATZYL (obecabtagene autoleucel, also known as obe-cel) in the United States for the treatment of adult patients (18 years and older) with relapsed or refractory B-cell precursor acute lymphoblastic leukemia (“r/r B-ALL”). The commercial launch and first sale of AUCATZYL in the United States occurred in January 2025. The United Kingdom Medicines and Healthcare products Regulatory Agency (“MHRA”) granted AUCATZYL conditional marketing authorization in April 2025, and subject to the National Institute for Health and Care Excellence (“NICE”) recommending National Health Service (“NHS”) funding. Autolus anticipates commercial launch in the United Kingdom in the second half of 2025. In July 2025, the Company was granted marketing approval in the EU by the European Commission for AUCATZYL for the treatment of adult patients (26 years and older) with r/r B-ALL.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Autolus is registered in England and Wales. Its registered office is The MediaWorks, 191 Wood Lane, London, W12 7FP, United Kingdom.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risks and uncertainties common to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The Company’s product candidates currently under development will require significant additional research and development efforts, including preclinical and clinical testing and regulatory approval, prior to commercialization. The Company also expects to incur significant additional costs as it expands its commercialization efforts for AUCATZYL. These efforts will require significant amounts of capital, as well as additional personnel, infrastructure, and compliance capabilities. Even if the Company’s product development efforts for obe-cel and its other product candidates are successful, it is uncertain when, if ever, the Company will become profitable.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public limited company incorporated under the laws of England and Wales, and qualifies as a “foreign private issuer,” as such term is defined in Rule 405 under the Securities Act of 1933, as amended (the “Securities Act”), and Rule 3b-4 under the Securities Exchange Act of 1934, as amended (the “Exchange Act”), and, therefore, is not subject to the same requirements that are imposed upon United States domestic issuers by the Securities and Exchange Commission (the “SEC”). The Company has decided to voluntarily file periodic reports, such as annual reports on Form 10-K, quarterly reports on Form 10-Q, and current reports on Form 8-K on United States domestic issuer forms, which are more detailed and extensive in certain respects, and which must be filed more promptly than the forms currently required for foreign private issuers. Although the Company has voluntarily chosen to file periodic reports and current reports on United States domestic issuer forms, the Company will maintain its status as a foreign private issuer and is not subject to certain other requirements imposed on United States domestic issuers including its officers, directors, and principal shareholders are not subject to the reporting and short-swing profit recovery provisions contained in Section 16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interim financial statements of the Company have been prepared in accordance with generally accepted accounting principles in the United States (“U.S. GAAP”) for interim financial information and with the instructions to Form 10-Q and Article 10 of Regulation S-X, and are presented in US dollars. Accordingly, they do not include all of the information and footnotes required by generally accepted accounting principles for complete financial statements.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at December 31, 2024, has been derived from the audited consolidated financial statements at that date but does not include all of the information and footnotes required by generally accepted accounting principles for complete financial statements.</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accounting policies used in the preparation of these unaudited condensed consolidated interim financial statements are consistent with those discussed in Note 2, “Summary of Significant Accounting Policies” in the Company’s Annual Report on Form 10-K for the year ended December 31, 2024, as filed with the SEC on March 20, 2025 (the “Annual Report”). The information included in these unaudited condensed consolidated interim financial statements should be read in conjunction with the audited consolidated financial statements and the related notes thereto as of and for the year ended December 31, 2024, included in the Annual Report.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interim financial statements include all adjustments, consisting of normal recurring adjustments, which, in the opinion of management, are necessary to fairly state the Company’s financial position as of June 30, 2025, and the results of its operation for the three-month and six-month period ended June 30, 2025, and cash flows for the six-month period ended June 30, 2025. The interim results and cash flows are not necessarily indicative of results and cash flows that may be expected for the year ending December 31,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incurred recurring losses since its inception, including net losses of $47.9 million and $58.3 million for the three months ended June 30, 2025 and 2024, respectively and $118.1 million and $111.0 million for the six months ended June 30, 2025 and 2024, respectively. The Company had an accumulated deficit of $1,217.3 million and $1,099.2 million as of June 30, 2025 and December 31, 2024, respectively. The Company expects to continue to generate operating losses in the foreseeable future. The Company’s inability to raise additional capital as and when needed could have a negative impact on its financial condition and ability to pursue its business strategies. There can be no assurances, however, that the current operating plan will be achieved or that additional funding will be available on terms acceptable to the Company, or at all. The Company expects that its cash and cash equivalents and marketable securities of $123.8 million and $330.5 million, respectively, as of June 30, 2025, will be sufficient to fund the Company’s operations for at least twelve months from the issuance date of these unaudited condensed consolidated interim financial statements and accordingly they have been prepared on a going concern basis. As the Company continues to incur losses, the transition to profitability is dependent upon the successful development, approval and commercialization of its product candidates and achieving a level of revenues adequate to support its cost structure. Even if the Company is successful in its current and future commercialization efforts for obe-cel and even if the Company's planned regulatory submissions for its current or future products are approved, additional funding may be needed before the Company is expected to become profitable.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preparation of condensed consolidated interim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income and expenses during the reporting periods. Significant estimates and assumptions reflected in these condensed consolidated interim financial statements include, but are not limited to, the accrual for research and development expenses, income taxes, initial fair value of warrants, and present value of liabilities related to future royalties and milestones, net including the related interest expense and cumulative catch-up adjustment, incremental borrowing rates related to the Company</w:t>
      </w:r>
      <w:r>
        <w:rPr>
          <w:color w:val="000000"/>
          <w:shd w:fill="FFFFFF" w:val="clear"/>
        </w:rPr>
        <w:t>’</w:t>
      </w:r>
      <w:r>
        <w:rPr>
          <w:rFonts w:ascii="Times New Roman;serif" w:hAnsi="Times New Roman;serif"/>
          <w:b w:val="false"/>
          <w:color w:val="000000"/>
          <w:sz w:val="20"/>
        </w:rPr>
        <w:t>s leased properties, allocation of transaction price using the relative standalone selling price relating to license revenue and the estimated expected rebate and chargeback percentage for revenue deductions related to product revenue, net. Estimates are periodically reviewed in light of changes in circumstances, facts and experience. Actual results could differ from those estimates.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Expected rebate and chargeback percentage for product revenue deductions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approval of AUCATZYL in November 2024, Autolus has a short history of actual rebate claims or chargebacks, and such information may have limited predictive value. The Company uses the expected value method to estimate expected rebate and chargeback percentages for revenue deductions, which considers the likelihood of a rebate or chargeback being applicable to sales. The proportion of sales subject to a rebate or chargeback is inherently uncertain and estimates are based on internal assumptions, which may change as it develops more product revenue experience, and third-party data, which we assess for reliability and relevance.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state government Medicaid and TriCare programs and other qualifying federal and state programs in the United States requiring rebates to be paid to participating state and local government entities, depending on the eligibility and circumstances of patients treated with AUCATZYL. </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wholly-owned subsidiary in the United States also participates in programs with government entities, which are the US Department of Defense (the “DoD”), the US Department of Veterans Affairs (the “VA”) and TriCare, and other parties, including covered entities under the 340B Drug Pricing Program (the “340B Program”), whereby pricing on AUCATZYL is extended below list price to participating entities, including Authorized Treatment Centers (“ATCs”). These entities are entitled to purchase AUCATZYL at the lower program price by charging the Company the difference between their acquisition cost and the lower program price. Estimating expected rebate and chargeback percentages for revenue deductions is judgmental due to the time delay between the date of the sale to ATCs and the subsequent dates on which we are able to determine actual amounts of chargebacks and rebates.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forms estimates of the 340B Program, the DoD and the VA chargeback deductions by analyzing sell-through data relating to the hospital mix of onward sales made by ATCs. For Medicaid and other rebates, the Company forms estimates based on information obtained from claims received, historical and estimated payor mix, setting of care, discount rates and other industry data, and external health coverage statistics. Judgment is applied to consider the relevance and reliability of information used to make these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accrued product revenue deductions for the six months ended June 30, 2025 of $2.1 million were related to critical estimates subject to significant estimation uncertainty and judgment, as described above. The Company recorded $1.6 million within accrued expenses and other current liabilities in the unaudited condensed consolidated balance sheet related to these deductions as of June 30, 2025.</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(the “CODM”), its Chief Executive Officer and Executive Team members, manages the Company’s operations on an integrated basis for the purpose of appropriately allocating resources. When evaluating the Company’s financial performance, the CODM reviews total revenue, total expenses and expenses by function and makes decisions using this information on a global basis. The Company and the CODM view the Company’s operations and manage its business as a single operating and reportable segment, which is the business of developing and commercializing CAR T therapies.</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Inventories, Net</w:t>
      </w:r>
    </w:p>
    <w:p>
      <w:pPr>
        <w:pStyle w:val="TextBody"/>
        <w:bidi w:val="0"/>
        <w:spacing w:lineRule="auto" w:line="26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commences capitalization of inventory once regulatory approval for a product candidate is received. Prior to regulatory approval, the Company expenses all such costs as incurred as research and development expenses. The Company capitalizes material costs, labor and applicable overheads that are incurred in the production of its commercial product. Inventory that can be used for either clinical, research or commercial purposes is classified initially as inventory. Inventory that is subsequently used in clinical trials or research activities is expensed once it has been used for research and development purposes.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8, 2024, the Company received FDA approval for AUCATZYL and commenced capitalization of inventory for AUCATZYL from such date.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are measured at the lower of cost or net realizable value, with cost determined using a weighted average method for different components of inventory. The Company reviews the recoverability of inventory at each reporting period to determine any changes to net realizable value arising from excess, slow-moving or obsolete inventory. If net realizable value is lower than cost, the inventory will be written down to net realizable value and an impairment charge will be recognized in cost of sales.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Consumables consist of materials used primarily in the quality acceptance testing of AUCATZYL and cleaning of the Company’s commercial manufacturing facility and research and development facilities.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Raw materials inventory consists of completed materials purchased directly from third party suppliers.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Work in progress inventory consists of materials manufactured either by the Company or at contract manufacturing organizations that are either partially manufactured or fully manufactured but are pending quality acceptance release.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Finished goods are completed and quality approved drug products that are either awaiting shipment or are in-transit and therefore have not been delivered to the ATCs.</w:t>
      </w:r>
    </w:p>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8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Product revenue</w:t>
      </w:r>
    </w:p>
    <w:p>
      <w:pPr>
        <w:pStyle w:val="TextBody"/>
        <w:bidi w:val="0"/>
        <w:spacing w:lineRule="auto" w:line="276" w:before="120" w:after="283"/>
        <w:ind w:left="0" w:right="0" w:firstLine="720"/>
        <w:jc w:val="both"/>
        <w:rPr/>
      </w:pPr>
      <w:r>
        <w:rPr>
          <w:rFonts w:ascii="Times New Roman;serif" w:hAnsi="Times New Roman;serif"/>
          <w:b w:val="false"/>
          <w:color w:val="000000"/>
          <w:sz w:val="20"/>
        </w:rPr>
        <w:t xml:space="preserve">The Company accounts for its revenues pursuant to the provisions of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The Company has identified a single performance obligation which is satisfied upon delivery of the product to the authorized treatment centers. However, the performance obligation is constrained by the right of return/credit eligibility. The Company recognizes revenue from product sales upon administration to the patient, when the customers’ ability to either cancel the order or request a refund has ceased. Revenue from product sales that are invoiced and constrained is recorded as deferred revenue on the balance sheet.</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2025, the Centers for Medicare and Medicaid Services (“CMS”) included AUCATZYL in their published Healthcare Common Procedure Coding System (“HCPCS”) coding determinations and Hospital Outpatient Prospective Payment System (“OPPS”) payment rates, formalizing reimbursement for patients on government programs. The CMS policy splits the therapeutic dose of AUCATZYL into two administrations for coding and billing purposes. As a result, effective from the second quarter of 2025, the Company recognizes 50% of revenue upon administration of the first dose and the remaining 50% of revenue upon administration of the second dose, when the customers’ ability to either cancel the order or request a refund has ceased for each respective dose. </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revenue, net of gross-to-net deductions, are recognized only to the extent that a significant reversal in the amount of cumulative revenue recognized is not probable of occurring when the uncertainty associated with gross-to-net deductions is subsequently resolved. Product revenue is recognized net of estimated rebates and chargebacks, patient travel assistance and patient co-pay assistance deductions. These deductions to product revenue are referred to as gross-to-net deductions and are estimated and recorded in the period in which the related product revenue occurs.</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Gross-to-net deductions</w:t>
      </w:r>
    </w:p>
    <w:p>
      <w:pPr>
        <w:pStyle w:val="TextBody"/>
        <w:bidi w:val="0"/>
        <w:spacing w:lineRule="auto" w:line="288" w:before="120" w:after="283"/>
        <w:ind w:left="0" w:right="0" w:firstLine="720"/>
        <w:jc w:val="both"/>
        <w:rPr/>
      </w:pPr>
      <w:r>
        <w:rPr>
          <w:rFonts w:ascii="Times New Roman;serif" w:hAnsi="Times New Roman;serif"/>
          <w:b w:val="false"/>
          <w:i/>
          <w:color w:val="000000"/>
          <w:sz w:val="20"/>
        </w:rPr>
        <w:t>Rebates and chargeback</w:t>
      </w:r>
      <w:r>
        <w:rPr>
          <w:rFonts w:ascii="Times New Roman;serif" w:hAnsi="Times New Roman;serif"/>
          <w:b w:val="false"/>
          <w:color w:val="000000"/>
          <w:sz w:val="20"/>
        </w:rPr>
        <w: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Rebates and chargebacks are based on contractual arrangements or statutory requirements and include amounts due to payors and healthcare providers under various programs. These amounts may vary by payor and individual plans. Providers qualified under certain programs can purchase the Company's products through the Company's third-party logistics partner at a discount. The Company's third-party logistics partner then charge the discount back to the Company.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Rebates and chargebacks are estimated primarily based on product sales, including pricing, historical and estimated payor mix, setting of care and discount rates, among other inputs, which require significant estimates and judgment. The Company assesses and updates its estimates each reporting period to reflect actual claims and other current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wholly-owned subsidiary in the United States also participates in programs with government entities, the most significant of which are the DOD, the VA and TriCare, and other parties, including covered entities under the 340B Program, whereby pricing on products is extended below list price to participating entities. These entities purchase products at the lower program price then charge the Company the difference between their acquisition cost and the lower program price. Accounts receivable is reduced for the estimated amount of unprocessed charge-back claims attributable to a sale.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wholly-owned subsidiary in the United States further participates in state government Medicaid programs and the Tricare program requiring discounts and rebates to participating government entities. All discounts and rebates provided through these programs are included in the Company's Medicaid and Tricare rebate accrual. The estimated amount of unpaid or unbilled rebates are to be recognized and presented as a liability.</w:t>
      </w:r>
    </w:p>
    <w:p>
      <w:pPr>
        <w:pStyle w:val="TextBody"/>
        <w:bidi w:val="0"/>
        <w:spacing w:lineRule="auto" w:line="288" w:before="18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Patient Travel, Lodging and Meal Assistance</w:t>
      </w:r>
    </w:p>
    <w:p>
      <w:pPr>
        <w:pStyle w:val="TextBody"/>
        <w:bidi w:val="0"/>
        <w:spacing w:lineRule="auto" w:line="288" w:before="12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Travel, lodging, and meal assistance represents financial assistance to qualified patients and their caregiver by reimbursing certain travel, lodging, and meal expenses incurred during their treatment. The Company expenses the actual expenses made during the period and accrues the estimated unreported or unrecorded expenses at period end.</w:t>
      </w:r>
    </w:p>
    <w:p>
      <w:pPr>
        <w:pStyle w:val="TextBody"/>
        <w:bidi w:val="0"/>
        <w:spacing w:lineRule="auto" w:line="288" w:before="18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Patient Co-Pay Assistance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Co-pay assistance represents financial assistance to qualified patients, assisting them with cost sharing obligations for the Company's product based on benefit design structure required by insurance. The Company's accrual for copay is based on an estimate of claims and the cost per claim that the Company expects to receive associated with qualified patients that exist at each reporting period. </w:t>
      </w:r>
    </w:p>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68" w:before="240" w:after="120"/>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reporting currency of the Company is U.S. dollars. The Company has determined that its functional currency of the ultimate parent company, Autolus Therapeutics plc, is British Pound Sterling. The functional currency of each subsidiary’s operations is the applicable local currency. Monetary assets and liabilities denominated in currencies other than the Company’s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Translation adjustments are not included in determining net income (loss) but are included in foreign currency translation to other comprehensive loss, a component of shareholders’ equity.</w:t>
      </w:r>
    </w:p>
    <w:p>
      <w:pPr>
        <w:pStyle w:val="TextBody"/>
        <w:bidi w:val="0"/>
        <w:spacing w:lineRule="auto" w:line="288" w:before="18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Company recorded foreign exchange gain of $1.5 million and foreign exchange gain of $1.2 million for the three months ended June 30, 2025 and 2024, respectively, and foreign exchange gain of $2.7 million and foreign exchange losses of $0.5 million for the six months ended June 30, 2025 and 2024, respectively, which are included in foreign exchange gains (losses), net in the unaudited condensed consolidated statements of operations and comprehensive loss.</w:t>
      </w:r>
    </w:p>
    <w:p>
      <w:pPr>
        <w:pStyle w:val="TextBody"/>
        <w:bidi w:val="0"/>
        <w:spacing w:lineRule="auto" w:line="268" w:before="240" w:after="12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In January 2025, the Financial Accounting Standards Board (the “FASB”) issued the Accounting Standards Update (“ASU”) 2025-01—</w:t>
      </w:r>
      <w:r>
        <w:rPr>
          <w:rFonts w:ascii="Times New Roman;serif" w:hAnsi="Times New Roman;serif"/>
          <w:b w:val="false"/>
          <w:i/>
          <w:color w:val="000000"/>
          <w:sz w:val="20"/>
        </w:rPr>
        <w:t xml:space="preserve">Income Statement—Reporting Comprehensive Income—Expense Disaggregation Disclosures (Subtopic 220-40): Clarifying the Effective Date, </w:t>
      </w:r>
      <w:r>
        <w:rPr>
          <w:rFonts w:ascii="Times New Roman;serif" w:hAnsi="Times New Roman;serif"/>
          <w:b w:val="false"/>
          <w:color w:val="000000"/>
          <w:sz w:val="20"/>
        </w:rPr>
        <w:t>to clarify the effective date of</w:t>
      </w:r>
      <w:r>
        <w:rPr>
          <w:color w:val="000000"/>
        </w:rPr>
        <w:t xml:space="preserve"> </w:t>
      </w:r>
      <w:r>
        <w:rPr>
          <w:rFonts w:ascii="Times New Roman;serif" w:hAnsi="Times New Roman;serif"/>
          <w:b w:val="false"/>
          <w:i/>
          <w:color w:val="000000"/>
          <w:sz w:val="20"/>
        </w:rPr>
        <w:t xml:space="preserve">ASU No. 2024-03, Income Statement—Reporting Comprehensive Income—Expense Disaggregation Disclosures (Subtopic 220-40): Disaggregation of Income Statement Expenses. </w:t>
      </w:r>
      <w:r>
        <w:rPr>
          <w:rFonts w:ascii="Times New Roman;serif" w:hAnsi="Times New Roman;serif"/>
          <w:b w:val="false"/>
          <w:color w:val="000000"/>
          <w:sz w:val="20"/>
        </w:rPr>
        <w:t>FASB clarified that all public business entities should initially adopt the disclosure requirements in the ASU 2024-04 in the first annual reporting period beginning after December 15, 2026, and interim reporting periods within annual reporting periods beginning after December 15, 2027.</w:t>
      </w:r>
      <w:r>
        <w:rPr>
          <w:color w:val="000000"/>
        </w:rPr>
        <w:t xml:space="preserve"> </w:t>
      </w:r>
      <w:r>
        <w:rPr>
          <w:rFonts w:ascii="Times New Roman;serif" w:hAnsi="Times New Roman;serif"/>
          <w:b w:val="false"/>
          <w:color w:val="000000"/>
          <w:sz w:val="20"/>
        </w:rPr>
        <w:t>The Company is currently assessing the effect of this ASU on its consolidated financial statements and related disclosures.</w:t>
      </w:r>
    </w:p>
    <w:p>
      <w:pPr>
        <w:pStyle w:val="TextBody"/>
        <w:bidi w:val="0"/>
        <w:spacing w:lineRule="auto" w:line="288" w:before="120" w:after="283"/>
        <w:ind w:left="0" w:right="0" w:firstLine="900"/>
        <w:jc w:val="both"/>
        <w:rPr/>
      </w:pPr>
      <w:r>
        <w:rPr>
          <w:rFonts w:ascii="Times New Roman;serif" w:hAnsi="Times New Roman;serif"/>
          <w:b w:val="false"/>
          <w:color w:val="000000"/>
          <w:sz w:val="20"/>
        </w:rPr>
        <w:t>In November 2024, the FASB issued ASU 2024-03—</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to improve the disclosures about entity’s expenses. The amendments apply to all public business entities. The ASU is effective for annual reporting periods beginning after December 15, 2026, and interim reporting periods beginning after December 15, 2027 with early adoption permitted. The Company is currently assessing the effect of this ASU on its consolidated financial statements and related disclosures.</w:t>
      </w:r>
    </w:p>
    <w:p>
      <w:pPr>
        <w:pStyle w:val="TextBody"/>
        <w:bidi w:val="0"/>
        <w:spacing w:lineRule="auto" w:line="288" w:before="120" w:after="283"/>
        <w:ind w:left="0" w:right="0" w:firstLine="900"/>
        <w:jc w:val="both"/>
        <w:rPr/>
      </w:pPr>
      <w:r>
        <w:rPr>
          <w:rFonts w:ascii="Times New Roman;serif" w:hAnsi="Times New Roman;serif"/>
          <w:b w:val="false"/>
          <w:color w:val="000000"/>
          <w:sz w:val="20"/>
        </w:rPr>
        <w:t>In March 2024, the FASB issued ASU 2024-02—</w:t>
      </w:r>
      <w:r>
        <w:rPr>
          <w:rFonts w:ascii="Times New Roman;serif" w:hAnsi="Times New Roman;serif"/>
          <w:b w:val="false"/>
          <w:i/>
          <w:color w:val="000000"/>
          <w:sz w:val="20"/>
        </w:rPr>
        <w:t>Codification Improvements—Amendments to Remove References to the Concepts Statements</w:t>
      </w:r>
      <w:r>
        <w:rPr>
          <w:rFonts w:ascii="Times New Roman;serif" w:hAnsi="Times New Roman;serif"/>
          <w:b w:val="false"/>
          <w:color w:val="000000"/>
          <w:sz w:val="20"/>
        </w:rPr>
        <w:t>, that contains amendments to the Codification that remove references to various FASB Concepts Statements. This effort facilitates Codification updates for technical corrections such as conforming amendments, clarifications to guidance, simplifications to wording or the structure of guidance, and other minor improvements. The amendments are effective for public business entities for fiscal years beginning after December 15, 2024, with early adoption permitted. Early application of the amendments in this ASU is permitted for all entities, for any fiscal year or interim period for which financial statements have not yet been issued (or made available for issuance). If an entity adopts the amendments in an interim period, it must adopt them as of the beginning of the fiscal year that includes that interim period. The Company adopted ASU 2024-02 on January 1, 2025 and will apply ASU 2024-02 prospectively to all new transactions recognized on or after the adoption date. The adoption of ASU 2024-02 did not have material effect on the Company's condensed consolidated financial statements and related disclosures for the three and six months ended June 30, 2025.</w:t>
      </w:r>
    </w:p>
    <w:p>
      <w:pPr>
        <w:pStyle w:val="TextBody"/>
        <w:bidi w:val="0"/>
        <w:spacing w:lineRule="auto" w:line="288" w:before="120" w:after="283"/>
        <w:ind w:left="0" w:right="0" w:firstLine="900"/>
        <w:jc w:val="both"/>
        <w:rPr/>
      </w:pPr>
      <w:r>
        <w:rPr>
          <w:rFonts w:ascii="Times New Roman;serif" w:hAnsi="Times New Roman;serif"/>
          <w:b w:val="false"/>
          <w:color w:val="000000"/>
          <w:sz w:val="20"/>
        </w:rPr>
        <w:t>In March 2024, the FASB issued ASU 2024-01—</w:t>
      </w:r>
      <w:r>
        <w:rPr>
          <w:rFonts w:ascii="Times New Roman;serif" w:hAnsi="Times New Roman;serif"/>
          <w:b w:val="false"/>
          <w:i/>
          <w:color w:val="000000"/>
          <w:sz w:val="20"/>
        </w:rPr>
        <w:t xml:space="preserve">Compensation—Stock Compensation (Topic 718): Scope Application of Profits Interest and Similar Awards, </w:t>
      </w:r>
      <w:r>
        <w:rPr>
          <w:rFonts w:ascii="Times New Roman;serif" w:hAnsi="Times New Roman;serif"/>
          <w:b w:val="false"/>
          <w:color w:val="000000"/>
          <w:sz w:val="20"/>
        </w:rPr>
        <w:t>to improve GAAP by adding an illustrative example that includes four fact patterns to demonstrate how an entity should apply the scope guidance in paragraph 718-10-15-3 to determine whether a profits interest award should be accounted for in accordance with Topic 718, Compensation—Stock Compensation. For public business entities, the amendments in this ASU are effective for annual periods beginning after December 15, 2024, and interim periods within those annual periods. Early adoption is permitted for both interim and annual financial statements that have not yet been issued or made available for issuance. If an entity adopts the amendments in an interim period, it should adopt them as of the beginning of the annual period that includes that interim period. The Company adopted ASU 2024-01 on January 1, 2025. The adoption of ASU 2024-01 did not have material effect on the Company's condensed consolidated financial statements and related disclosures for the three and six months ended June 30, 2025.</w:t>
      </w:r>
    </w:p>
    <w:p>
      <w:pPr>
        <w:pStyle w:val="TextBody"/>
        <w:bidi w:val="0"/>
        <w:spacing w:lineRule="auto" w:line="288" w:before="120" w:after="283"/>
        <w:ind w:left="0" w:right="0" w:firstLine="900"/>
        <w:jc w:val="both"/>
        <w:rPr/>
      </w:pPr>
      <w:r>
        <w:rPr>
          <w:rFonts w:ascii="Times New Roman;serif" w:hAnsi="Times New Roman;serif"/>
          <w:b w:val="false"/>
          <w:color w:val="000000"/>
          <w:sz w:val="20"/>
        </w:rPr>
        <w:t>In December 2023, the FASB issued ASU 2023-09—</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This ASU improves the transparency of income tax disclosure by requiring consistent categories and greater disaggregation of information in the rate reconciliation, and income taxes paid disaggregated by jurisdiction. This guidance is effective for the Company for the year beginning January 1, 2025, with early adoption permitted. The Company does not expect the adoption of ASU 2023-09 to have a material effect on condensed consolidated financial statements and related disclosures for the three and six months ended June 30, 2025.</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Unless otherwise discussed, the impact of recently issued standards that are not yet effective are not expected to have a material impact on the </w:t>
      </w:r>
      <w:r>
        <w:rPr>
          <w:rFonts w:ascii="Times New Roman;serif" w:hAnsi="Times New Roman;serif"/>
          <w:b w:val="false"/>
          <w:color w:val="000000"/>
          <w:sz w:val="20"/>
          <w:shd w:fill="FFFFFF" w:val="clear"/>
        </w:rPr>
        <w:t>Company’s condensed</w:t>
      </w:r>
      <w:r>
        <w:rPr>
          <w:color w:val="000000"/>
        </w:rPr>
        <w:t xml:space="preserve"> </w:t>
      </w:r>
      <w:r>
        <w:rPr>
          <w:rFonts w:ascii="Times New Roman;serif" w:hAnsi="Times New Roman;serif"/>
          <w:b w:val="false"/>
          <w:color w:val="000000"/>
          <w:sz w:val="20"/>
        </w:rPr>
        <w:t>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3. Revenue</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Product revenue,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8, 2024, the Company was notified by the FDA that the Company’s BLA was approved, allowing for the marketing of AUCATZYL in the United States for the treatment of adult patients with r/r B-ALL. </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Product revenue, net recognized </w:t>
      </w:r>
      <w:r>
        <w:rPr>
          <w:rFonts w:ascii="Times New Roman;serif" w:hAnsi="Times New Roman;serif"/>
          <w:b w:val="false"/>
          <w:color w:val="000000"/>
          <w:sz w:val="20"/>
        </w:rPr>
        <w:t>after estimated deductions for rebates, chargebacks and returns</w:t>
      </w:r>
      <w:r>
        <w:rPr>
          <w:color w:val="000000"/>
          <w:shd w:fill="FFFFFF" w:val="clear"/>
        </w:rPr>
        <w:t xml:space="preserve"> </w:t>
      </w:r>
      <w:r>
        <w:rPr>
          <w:rFonts w:ascii="Times New Roman;serif" w:hAnsi="Times New Roman;serif"/>
          <w:b w:val="false"/>
          <w:color w:val="000000"/>
          <w:sz w:val="20"/>
          <w:shd w:fill="FFFFFF" w:val="clear"/>
        </w:rPr>
        <w:t>for the three months and six months ended June 30, 2025, and 2024, is presented in the table below by geographical location (in thousands):</w:t>
      </w:r>
    </w:p>
    <w:tbl>
      <w:tblPr>
        <w:tblW w:w="8507" w:type="dxa"/>
        <w:jc w:val="left"/>
        <w:tblInd w:w="0" w:type="dxa"/>
        <w:tblLayout w:type="fixed"/>
        <w:tblCellMar>
          <w:top w:w="28" w:type="dxa"/>
          <w:left w:w="28" w:type="dxa"/>
          <w:bottom w:w="28" w:type="dxa"/>
          <w:right w:w="28" w:type="dxa"/>
        </w:tblCellMar>
      </w:tblPr>
      <w:tblGrid>
        <w:gridCol w:w="856"/>
        <w:gridCol w:w="756"/>
        <w:gridCol w:w="758"/>
        <w:gridCol w:w="109"/>
        <w:gridCol w:w="109"/>
        <w:gridCol w:w="109"/>
        <w:gridCol w:w="262"/>
        <w:gridCol w:w="916"/>
        <w:gridCol w:w="135"/>
        <w:gridCol w:w="135"/>
        <w:gridCol w:w="135"/>
        <w:gridCol w:w="135"/>
        <w:gridCol w:w="262"/>
        <w:gridCol w:w="505"/>
        <w:gridCol w:w="135"/>
        <w:gridCol w:w="109"/>
        <w:gridCol w:w="109"/>
        <w:gridCol w:w="109"/>
        <w:gridCol w:w="238"/>
        <w:gridCol w:w="832"/>
        <w:gridCol w:w="123"/>
        <w:gridCol w:w="123"/>
        <w:gridCol w:w="123"/>
        <w:gridCol w:w="123"/>
        <w:gridCol w:w="238"/>
        <w:gridCol w:w="459"/>
        <w:gridCol w:w="123"/>
        <w:gridCol w:w="109"/>
        <w:gridCol w:w="109"/>
        <w:gridCol w:w="109"/>
        <w:gridCol w:w="154"/>
      </w:tblGrid>
      <w:tr>
        <w:trPr/>
        <w:tc>
          <w:tcPr>
            <w:tcW w:w="8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Product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Product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20,923</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29,905</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During the three and six months ended </w:t>
      </w:r>
      <w:r>
        <w:rPr>
          <w:rFonts w:ascii="Times New Roman;serif" w:hAnsi="Times New Roman;serif"/>
          <w:b w:val="false"/>
          <w:color w:val="000000"/>
          <w:sz w:val="20"/>
          <w:shd w:fill="FFFFFF" w:val="clear"/>
        </w:rPr>
        <w:t>June 30, 2025,</w:t>
      </w:r>
      <w:r>
        <w:rPr>
          <w:color w:val="000000"/>
        </w:rPr>
        <w:t xml:space="preserve"> </w:t>
      </w:r>
      <w:r>
        <w:rPr>
          <w:rFonts w:ascii="Times New Roman;serif" w:hAnsi="Times New Roman;serif"/>
          <w:b w:val="false"/>
          <w:color w:val="000000"/>
          <w:sz w:val="20"/>
        </w:rPr>
        <w:t>100% of the Company's product revenue, net was generated through the Company's agent Cardinal Health 105, LLC (“Cardinal Health”) from ATCs on behalf of patients.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Accounts receivable from contracts with customers</w:t>
      </w:r>
    </w:p>
    <w:p>
      <w:pPr>
        <w:pStyle w:val="TextBody"/>
        <w:bidi w:val="0"/>
        <w:spacing w:lineRule="auto" w:line="288" w:before="120" w:after="283"/>
        <w:ind w:left="0" w:right="0" w:firstLine="720"/>
        <w:jc w:val="both"/>
        <w:rPr/>
      </w:pPr>
      <w:r>
        <w:rPr>
          <w:rFonts w:ascii="Times New Roman;serif" w:hAnsi="Times New Roman;serif"/>
          <w:b w:val="false"/>
          <w:color w:val="000000"/>
          <w:sz w:val="22"/>
          <w:shd w:fill="FFFFFF" w:val="clear"/>
        </w:rPr>
        <w:t>A</w:t>
      </w:r>
      <w:r>
        <w:rPr>
          <w:rFonts w:ascii="Times New Roman;serif" w:hAnsi="Times New Roman;serif"/>
          <w:b w:val="false"/>
          <w:color w:val="000000"/>
          <w:sz w:val="20"/>
          <w:shd w:fill="FFFFFF" w:val="clear"/>
        </w:rPr>
        <w:t xml:space="preserve">ccounts receivable as of June 30, 2025 and December 31, 2024 was </w:t>
      </w:r>
      <w:r>
        <w:rPr>
          <w:rFonts w:ascii="Times New Roman;serif" w:hAnsi="Times New Roman;serif"/>
          <w:b w:val="false"/>
          <w:color w:val="000000"/>
          <w:sz w:val="20"/>
        </w:rPr>
        <w:t>$26.6 million and less than $0.1 million, respectively</w:t>
      </w:r>
      <w:r>
        <w:rPr>
          <w:rFonts w:ascii="Times New Roman;serif" w:hAnsi="Times New Roman;serif"/>
          <w:b w:val="false"/>
          <w:color w:val="000000"/>
          <w:sz w:val="20"/>
          <w:shd w:fill="FFFFFF" w:val="clear"/>
        </w:rPr>
        <w:t>. An allowance for lifetime expected credit losses on accounts receivable is measured using historical credit loss experience, conditions at the end of each reporting period, and reasonable and supportable forecasts that affect collectability. Expected credit losses as of June 30, 2025 and December 31, 2024, based on the Company's third-party agreements are immaterial.</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Deferred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shows the movements in deferred revenue (in thousands):</w:t>
      </w:r>
    </w:p>
    <w:tbl>
      <w:tblPr>
        <w:tblW w:w="10205" w:type="dxa"/>
        <w:jc w:val="center"/>
        <w:tblInd w:w="0" w:type="dxa"/>
        <w:tblLayout w:type="fixed"/>
        <w:tblCellMar>
          <w:top w:w="28" w:type="dxa"/>
          <w:left w:w="28" w:type="dxa"/>
          <w:bottom w:w="28" w:type="dxa"/>
          <w:right w:w="28" w:type="dxa"/>
        </w:tblCellMar>
      </w:tblPr>
      <w:tblGrid>
        <w:gridCol w:w="3213"/>
        <w:gridCol w:w="2830"/>
        <w:gridCol w:w="2838"/>
        <w:gridCol w:w="109"/>
        <w:gridCol w:w="109"/>
        <w:gridCol w:w="109"/>
        <w:gridCol w:w="211"/>
        <w:gridCol w:w="631"/>
        <w:gridCol w:w="155"/>
      </w:tblGrid>
      <w:tr>
        <w:trPr/>
        <w:tc>
          <w:tcPr>
            <w:tcW w:w="3213"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Customers invoiced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from amounts included in the deferred revenue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Customers invoiced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2,100</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Accruals for rebates, chargebacks and returns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Current accruals for rebates and chargebacks as of </w:t>
      </w:r>
      <w:r>
        <w:rPr>
          <w:rFonts w:ascii="Times New Roman;serif" w:hAnsi="Times New Roman;serif"/>
          <w:b w:val="false"/>
          <w:color w:val="000000"/>
          <w:sz w:val="20"/>
          <w:shd w:fill="FFFFFF" w:val="clear"/>
        </w:rPr>
        <w:t>June 30, 2025</w:t>
      </w:r>
      <w:r>
        <w:rPr>
          <w:color w:val="000000"/>
        </w:rPr>
        <w:t xml:space="preserve"> </w:t>
      </w:r>
      <w:r>
        <w:rPr>
          <w:rFonts w:ascii="Times New Roman;serif" w:hAnsi="Times New Roman;serif"/>
          <w:b w:val="false"/>
          <w:color w:val="000000"/>
          <w:sz w:val="20"/>
        </w:rPr>
        <w:t>were as follows (in thousands):</w:t>
      </w:r>
    </w:p>
    <w:tbl>
      <w:tblPr>
        <w:tblW w:w="9620" w:type="dxa"/>
        <w:jc w:val="left"/>
        <w:tblInd w:w="0" w:type="dxa"/>
        <w:tblLayout w:type="fixed"/>
        <w:tblCellMar>
          <w:top w:w="28" w:type="dxa"/>
          <w:left w:w="28" w:type="dxa"/>
          <w:bottom w:w="28" w:type="dxa"/>
          <w:right w:w="28" w:type="dxa"/>
        </w:tblCellMar>
      </w:tblPr>
      <w:tblGrid>
        <w:gridCol w:w="1825"/>
        <w:gridCol w:w="1603"/>
        <w:gridCol w:w="1612"/>
        <w:gridCol w:w="109"/>
        <w:gridCol w:w="109"/>
        <w:gridCol w:w="109"/>
        <w:gridCol w:w="211"/>
        <w:gridCol w:w="631"/>
        <w:gridCol w:w="109"/>
        <w:gridCol w:w="109"/>
        <w:gridCol w:w="109"/>
        <w:gridCol w:w="109"/>
        <w:gridCol w:w="320"/>
        <w:gridCol w:w="730"/>
        <w:gridCol w:w="166"/>
        <w:gridCol w:w="109"/>
        <w:gridCol w:w="109"/>
        <w:gridCol w:w="109"/>
        <w:gridCol w:w="211"/>
        <w:gridCol w:w="631"/>
        <w:gridCol w:w="109"/>
        <w:gridCol w:w="109"/>
        <w:gridCol w:w="109"/>
        <w:gridCol w:w="109"/>
        <w:gridCol w:w="154"/>
      </w:tblGrid>
      <w:tr>
        <w:trPr/>
        <w:tc>
          <w:tcPr>
            <w:tcW w:w="182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Rebate and chargeback accruals related to sales in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Payments and credits made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License revenue, net</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License revenue for the three and six months ended June 30, 2025, and 2024, is presented in the table below by geographical location (in thousands):</w:t>
      </w:r>
    </w:p>
    <w:tbl>
      <w:tblPr>
        <w:tblW w:w="8131" w:type="dxa"/>
        <w:jc w:val="left"/>
        <w:tblInd w:w="0" w:type="dxa"/>
        <w:tblLayout w:type="fixed"/>
        <w:tblCellMar>
          <w:top w:w="28" w:type="dxa"/>
          <w:left w:w="28" w:type="dxa"/>
          <w:bottom w:w="28" w:type="dxa"/>
          <w:right w:w="28" w:type="dxa"/>
        </w:tblCellMar>
      </w:tblPr>
      <w:tblGrid>
        <w:gridCol w:w="721"/>
        <w:gridCol w:w="634"/>
        <w:gridCol w:w="639"/>
        <w:gridCol w:w="109"/>
        <w:gridCol w:w="109"/>
        <w:gridCol w:w="109"/>
        <w:gridCol w:w="311"/>
        <w:gridCol w:w="599"/>
        <w:gridCol w:w="160"/>
        <w:gridCol w:w="160"/>
        <w:gridCol w:w="160"/>
        <w:gridCol w:w="160"/>
        <w:gridCol w:w="311"/>
        <w:gridCol w:w="599"/>
        <w:gridCol w:w="160"/>
        <w:gridCol w:w="109"/>
        <w:gridCol w:w="109"/>
        <w:gridCol w:w="109"/>
        <w:gridCol w:w="238"/>
        <w:gridCol w:w="459"/>
        <w:gridCol w:w="123"/>
        <w:gridCol w:w="123"/>
        <w:gridCol w:w="123"/>
        <w:gridCol w:w="123"/>
        <w:gridCol w:w="238"/>
        <w:gridCol w:w="832"/>
        <w:gridCol w:w="123"/>
        <w:gridCol w:w="109"/>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License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License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10,091</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Major customers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The Company did not recognize any license revenue d</w:t>
      </w:r>
      <w:r>
        <w:rPr>
          <w:rFonts w:ascii="Times New Roman;serif" w:hAnsi="Times New Roman;serif"/>
          <w:b w:val="false"/>
          <w:color w:val="000000"/>
          <w:sz w:val="20"/>
        </w:rPr>
        <w:t xml:space="preserve">uring the three and six months ended </w:t>
      </w:r>
      <w:r>
        <w:rPr>
          <w:rFonts w:ascii="Times New Roman;serif" w:hAnsi="Times New Roman;serif"/>
          <w:b w:val="false"/>
          <w:color w:val="000000"/>
          <w:sz w:val="20"/>
          <w:shd w:fill="FFFFFF" w:val="clear"/>
        </w:rPr>
        <w:t xml:space="preserve">June 30, 2025. During the three and six months ended </w:t>
      </w:r>
      <w:r>
        <w:rPr>
          <w:rFonts w:ascii="Times New Roman;serif" w:hAnsi="Times New Roman;serif"/>
          <w:b w:val="false"/>
          <w:color w:val="000000"/>
          <w:sz w:val="20"/>
        </w:rPr>
        <w:t>June 30, 2024, 100% of the Company’s license revenues were generated from BioNTech.</w:t>
      </w:r>
    </w:p>
    <w:p>
      <w:pPr>
        <w:pStyle w:val="TextBody"/>
        <w:bidi w:val="0"/>
        <w:spacing w:before="240" w:after="283"/>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License and Option Agreement with BioNTech</w:t>
      </w:r>
    </w:p>
    <w:p>
      <w:pPr>
        <w:pStyle w:val="TextBody"/>
        <w:bidi w:val="0"/>
        <w:spacing w:lineRule="auto" w:line="26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6, 2024, the Company concurrently entered into a (i) Securities Purchase Agreement (the “BioNTech Securities Purchase Agreement”), (ii) Registration Rights Agreement, (iii) Letter Agreement and (iv) License and Option Agreement (the “BioNTech License and Option Agreement”), collectively called the “BioNTech Agreements”, with BioNTech. </w:t>
      </w:r>
    </w:p>
    <w:p>
      <w:pPr>
        <w:pStyle w:val="TextBody"/>
        <w:bidi w:val="0"/>
        <w:spacing w:lineRule="auto" w:line="26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further details on the terms and accounting treatment considerations for the BioNTech Agreements, refer to following notes to these interim condensed consolidated financial statements:</w:t>
      </w:r>
    </w:p>
    <w:p>
      <w:pPr>
        <w:pStyle w:val="TextBody"/>
        <w:bidi w:val="0"/>
        <w:spacing w:lineRule="auto" w:line="268" w:before="6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Note 2, “Summary of significant accounting policies”</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Note 13, “Shareholders’ equity”</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 xml:space="preserve">Note 15, “Liabilities related to future royalties and milestones, net” </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 xml:space="preserve">Note 17, “Commitments and contingencies” </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As the BioNTech License and Option Agreement has been accounted for as one freestanding financial instrument with various embedded features, including the Binder License and related transfer of know-how, Technology Options, and Product Options, the Company is required to consider if the embedded features are required to be bifurcated from the host contract and therefore accounted for as a separate derivative. The Company concluded the Binder License and related transfer of know-how, Technology Options, and Product Options meet the scope exception set out in ASC 815-10-15-59(d) and therefore not accounted for as derivatives under ASC 815, </w:t>
      </w:r>
      <w:r>
        <w:rPr>
          <w:rFonts w:ascii="Times New Roman;serif" w:hAnsi="Times New Roman;serif"/>
          <w:b w:val="false"/>
          <w:i/>
          <w:color w:val="000000"/>
          <w:sz w:val="20"/>
          <w:shd w:fill="FFFFFF" w:val="clear"/>
        </w:rPr>
        <w:t>Derivatives and Hedging</w:t>
      </w:r>
      <w:r>
        <w:rPr>
          <w:color w:val="000000"/>
          <w:shd w:fill="FFFFFF" w:val="clear"/>
        </w:rPr>
        <w:t xml:space="preserve"> </w:t>
      </w:r>
      <w:r>
        <w:rPr>
          <w:rFonts w:ascii="Times New Roman;serif" w:hAnsi="Times New Roman;serif"/>
          <w:b w:val="false"/>
          <w:color w:val="000000"/>
          <w:sz w:val="20"/>
          <w:shd w:fill="FFFFFF" w:val="clear"/>
        </w:rPr>
        <w:t>(“ASC 815”).</w:t>
      </w:r>
    </w:p>
    <w:p>
      <w:pPr>
        <w:pStyle w:val="TextBody"/>
        <w:bidi w:val="0"/>
        <w:spacing w:lineRule="auto" w:line="288" w:before="240" w:after="283"/>
        <w:ind w:left="0" w:right="0" w:firstLine="72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Binder License</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applied ASC 606 to account for the Binder License and related know-how as functional intellectual property. The Binder License and related transfer of know-how were not distinct from one another and must be combined as a performance obligation, as BioNTech requires the know-how to derive benefit from the license. Based on these determinations, the Company identified one combined distinct performance obligation at the inception of the BioNTech License and Option Agreement. </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further determined the consideration received included in the transaction price at contract inception, is to be allocated to the one combined performance obligation. The Company determined that the performance obligation was recognized at a point-in-time, upon the delivery of the transfer of know-how and Binder License to BioNTech. The Company recognized total license revenue of $10.1 million (net of foreign exchange differences), related to the BioNTech License and Option Agreement during the three months ended March 31, 2024. No license revenue was recognized during the three and six months ended June 30, 2025.</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Company is eligible to receive milestone payments of up to $32.0 million in the aggregate upon the achievement of specified clinical development and regulatory milestones for each Binder Licensed Product that achieves such milestones. The Company is also eligible to receive a low single-digit royalty on net sales of Binder Licensed Products, subject to customary reductions, which are subject to specified limits. The royalty will be increased if BioNTech, its affiliates or sublicensees commercialize a Binder Licensed Product in an indication and country in which the Company or its affiliates or licensees also commercializes a product containing the same binders. Under the BioNTech License and Option Agreement, BioNTech is solely responsible for, and has sole decision-making authority with respect to, at its own expense, the exploitation of Binder Licensed Products. Milestone payments and royalty payments are regarded as variable consideration and </w:t>
      </w:r>
      <w:r>
        <w:rPr>
          <w:rFonts w:ascii="Times New Roman;serif" w:hAnsi="Times New Roman;serif"/>
          <w:b w:val="false"/>
          <w:color w:val="000000"/>
          <w:sz w:val="20"/>
        </w:rPr>
        <w:t xml:space="preserve">will be evaluated under the most likely amount method. Milestone payments and royalty payments were not included in the transaction price, as these amounts were fully constrained as of </w:t>
      </w:r>
      <w:r>
        <w:rPr>
          <w:rFonts w:ascii="Times New Roman;serif" w:hAnsi="Times New Roman;serif"/>
          <w:b w:val="false"/>
          <w:color w:val="000000"/>
          <w:sz w:val="20"/>
          <w:shd w:fill="FFFFFF" w:val="clear"/>
        </w:rPr>
        <w:t>June 30, 2025 and 2024, respectively</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240" w:after="283"/>
        <w:ind w:left="0" w:right="0" w:firstLine="72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Technology Options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As the </w:t>
      </w:r>
      <w:r>
        <w:rPr>
          <w:rFonts w:ascii="Times New Roman;serif" w:hAnsi="Times New Roman;serif"/>
          <w:b w:val="false"/>
          <w:color w:val="000000"/>
          <w:sz w:val="20"/>
        </w:rPr>
        <w:t xml:space="preserve">Binder Option and the Activity Enhancement Option, referred to as the “Technology Options”, </w:t>
      </w:r>
      <w:r>
        <w:rPr>
          <w:rFonts w:ascii="Times New Roman;serif" w:hAnsi="Times New Roman;serif"/>
          <w:b w:val="false"/>
          <w:color w:val="000000"/>
          <w:sz w:val="20"/>
          <w:shd w:fill="FFFFFF" w:val="clear"/>
        </w:rPr>
        <w:t xml:space="preserve">are outside the scope of ASC 815, the Company considered other relevant accounting guidance to apply to this component of the BioNTech License and Option Agreement. The Company therefore applied ASC 606, considering particularly the accounting guidance related to any options granted to customers to purchase additional goods or services at a future date as this could provide a material right to the customer. A material right is a promise embedded in a current contract that should be accounted for as a separate performance obligation. </w:t>
      </w:r>
      <w:r>
        <w:rPr>
          <w:rFonts w:ascii="Times New Roman;serif" w:hAnsi="Times New Roman;serif"/>
          <w:b w:val="false"/>
          <w:color w:val="000000"/>
          <w:sz w:val="20"/>
        </w:rPr>
        <w:t>The Company determined the Technology Options were not offered at a significant and incremental discount. Accordingly, the Technology Options granted to BioNTech do not represent a material right and, therefore, were not a performance obligation at the outset of the arrangement. The Technology Options exercise fee equates to the standalone selling price of the technologies underlying each option and consequently, the transaction price of $10.0 million was not allocated to the Technology Options</w:t>
      </w:r>
      <w:r>
        <w:rPr>
          <w:color w:val="000000"/>
          <w:shd w:fill="FFFFFF" w:val="clear"/>
        </w:rPr>
        <w:t>’</w:t>
      </w:r>
      <w:r>
        <w:rPr>
          <w:color w:val="000000"/>
        </w:rPr>
        <w:t xml:space="preserve"> </w:t>
      </w:r>
      <w:r>
        <w:rPr>
          <w:rFonts w:ascii="Times New Roman;serif" w:hAnsi="Times New Roman;serif"/>
          <w:b w:val="false"/>
          <w:color w:val="000000"/>
          <w:sz w:val="20"/>
        </w:rPr>
        <w:t xml:space="preserve">performance obligation. No Technology Options were exercised during the three </w:t>
      </w:r>
      <w:r>
        <w:rPr>
          <w:rFonts w:ascii="Times New Roman;serif" w:hAnsi="Times New Roman;serif"/>
          <w:b w:val="false"/>
          <w:color w:val="000000"/>
          <w:sz w:val="20"/>
          <w:shd w:fill="FFFFFF" w:val="clear"/>
        </w:rPr>
        <w:t xml:space="preserve">and six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June 30, 2025 and 2024, respectively</w:t>
      </w:r>
      <w:r>
        <w:rPr>
          <w:rFonts w:ascii="Times New Roman;serif" w:hAnsi="Times New Roman;serif"/>
          <w:b w:val="false"/>
          <w:color w:val="000000"/>
          <w:sz w:val="20"/>
        </w:rPr>
        <w:t>.</w:t>
      </w:r>
    </w:p>
    <w:p>
      <w:pPr>
        <w:pStyle w:val="TextBody"/>
        <w:bidi w:val="0"/>
        <w:spacing w:lineRule="auto" w:line="288" w:before="240" w:after="283"/>
        <w:ind w:left="0" w:right="0" w:firstLine="72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Product Options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As the </w:t>
      </w:r>
      <w:r>
        <w:rPr>
          <w:rFonts w:ascii="Times New Roman;serif" w:hAnsi="Times New Roman;serif"/>
          <w:b w:val="false"/>
          <w:color w:val="000000"/>
          <w:sz w:val="20"/>
          <w:shd w:fill="FFFFFF" w:val="clear"/>
        </w:rPr>
        <w:t>option to obtain exclusive rights to co-fund development costs of the Company’s development-stage programs AUTO1/22 and AUTO6NG (“Product Options”)</w:t>
      </w:r>
      <w:r>
        <w:rPr>
          <w:color w:val="000000"/>
        </w:rPr>
        <w:t xml:space="preserve"> </w:t>
      </w:r>
      <w:r>
        <w:rPr>
          <w:rFonts w:ascii="Times New Roman;serif" w:hAnsi="Times New Roman;serif"/>
          <w:b w:val="false"/>
          <w:color w:val="000000"/>
          <w:sz w:val="20"/>
        </w:rPr>
        <w:t>are precluded from being accounted for under ASC 815 due to the scope exception, management considered the terms of the Product Options and concluded that they should be accounted for as a gain contingency under the scope of ASC 450,</w:t>
      </w:r>
      <w:r>
        <w:rPr>
          <w:color w:val="000000"/>
        </w:rPr>
        <w:t xml:space="preserve"> </w:t>
      </w:r>
      <w:r>
        <w:rPr>
          <w:rFonts w:ascii="Times New Roman;serif" w:hAnsi="Times New Roman;serif"/>
          <w:b w:val="false"/>
          <w:i/>
          <w:color w:val="000000"/>
          <w:sz w:val="20"/>
        </w:rPr>
        <w:t xml:space="preserve">Contingencies </w:t>
      </w:r>
      <w:r>
        <w:rPr>
          <w:rFonts w:ascii="Times New Roman;serif" w:hAnsi="Times New Roman;serif"/>
          <w:b w:val="false"/>
          <w:color w:val="000000"/>
          <w:sz w:val="20"/>
        </w:rPr>
        <w:t xml:space="preserve">(“ASC 450”). The Product Options, unlike the Technology Options, are 1) still subject to negotiation as to the specific activities to be performed by each party, which will be determined and agreed before the Product Options can be exercised, and 2) have not been exercised upon signature of the BioNTech License and Option Agreement. As a result, Product Options are not accounted for under ASC 606, and no recognition is required under ASC 450, until the Product Options are exercised. No Product Options were exercised during the three </w:t>
      </w:r>
      <w:r>
        <w:rPr>
          <w:rFonts w:ascii="Times New Roman;serif" w:hAnsi="Times New Roman;serif"/>
          <w:b w:val="false"/>
          <w:color w:val="000000"/>
          <w:sz w:val="20"/>
          <w:shd w:fill="FFFFFF" w:val="clear"/>
        </w:rPr>
        <w:t>and six</w:t>
      </w:r>
      <w:r>
        <w:rPr>
          <w:color w:val="000000"/>
        </w:rPr>
        <w:t xml:space="preserve">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June 30, 2025 and 2024, respectively. The product option for AUTO1/22 was not exercised and expired on February 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Interest Expense,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consisted of the following (in thousands):</w:t>
      </w:r>
    </w:p>
    <w:tbl>
      <w:tblPr>
        <w:tblW w:w="10205" w:type="dxa"/>
        <w:jc w:val="left"/>
        <w:tblInd w:w="0" w:type="dxa"/>
        <w:tblLayout w:type="fixed"/>
        <w:tblCellMar>
          <w:top w:w="28" w:type="dxa"/>
          <w:left w:w="28" w:type="dxa"/>
          <w:bottom w:w="28" w:type="dxa"/>
          <w:right w:w="28" w:type="dxa"/>
        </w:tblCellMar>
      </w:tblPr>
      <w:tblGrid>
        <w:gridCol w:w="1668"/>
        <w:gridCol w:w="1446"/>
        <w:gridCol w:w="1450"/>
        <w:gridCol w:w="109"/>
        <w:gridCol w:w="109"/>
        <w:gridCol w:w="109"/>
        <w:gridCol w:w="218"/>
        <w:gridCol w:w="748"/>
        <w:gridCol w:w="113"/>
        <w:gridCol w:w="113"/>
        <w:gridCol w:w="113"/>
        <w:gridCol w:w="113"/>
        <w:gridCol w:w="218"/>
        <w:gridCol w:w="764"/>
        <w:gridCol w:w="113"/>
        <w:gridCol w:w="109"/>
        <w:gridCol w:w="109"/>
        <w:gridCol w:w="109"/>
        <w:gridCol w:w="211"/>
        <w:gridCol w:w="721"/>
        <w:gridCol w:w="109"/>
        <w:gridCol w:w="109"/>
        <w:gridCol w:w="109"/>
        <w:gridCol w:w="109"/>
        <w:gridCol w:w="211"/>
        <w:gridCol w:w="736"/>
        <w:gridCol w:w="159"/>
      </w:tblGrid>
      <w:tr>
        <w:trPr/>
        <w:tc>
          <w:tcPr>
            <w:tcW w:w="166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accrued on liabilities related to future royalties and milestones,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catch-up adjustment arising from the liabilities related to future royalties and milestones,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(6,829)</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10,174</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29,443</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Net Loss Per Share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01"/>
        <w:gridCol w:w="1227"/>
        <w:gridCol w:w="1166"/>
        <w:gridCol w:w="264"/>
        <w:gridCol w:w="922"/>
        <w:gridCol w:w="109"/>
        <w:gridCol w:w="109"/>
        <w:gridCol w:w="109"/>
        <w:gridCol w:w="109"/>
        <w:gridCol w:w="264"/>
        <w:gridCol w:w="922"/>
        <w:gridCol w:w="109"/>
        <w:gridCol w:w="109"/>
        <w:gridCol w:w="109"/>
        <w:gridCol w:w="109"/>
        <w:gridCol w:w="237"/>
        <w:gridCol w:w="949"/>
        <w:gridCol w:w="109"/>
        <w:gridCol w:w="109"/>
        <w:gridCol w:w="109"/>
        <w:gridCol w:w="109"/>
        <w:gridCol w:w="237"/>
        <w:gridCol w:w="949"/>
        <w:gridCol w:w="159"/>
      </w:tblGrid>
      <w:tr>
        <w:trPr/>
        <w:tc>
          <w:tcPr>
            <w:tcW w:w="160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(110,962)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 basic and diluted</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(110,962)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ordinary shares used in net loss per share - 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266,141,411 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266,025,783 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266,134,021 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255,131,873 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net loss per ordinary share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(0.43)</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all periods presented, outstanding but unvested restricted stock units, share options and warrants have been excluded from the calculation, because their effects would be anti-dilutive. Therefore, the weighted average number of ordinary shares used to calculate both basic and diluted loss per share is the same for all periods presented.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have been excluded from the calculation of diluted net loss per share due to their anti-dilutive effect:</w:t>
      </w:r>
    </w:p>
    <w:tbl>
      <w:tblPr>
        <w:tblW w:w="6222" w:type="dxa"/>
        <w:jc w:val="center"/>
        <w:tblInd w:w="0" w:type="dxa"/>
        <w:tblLayout w:type="fixed"/>
        <w:tblCellMar>
          <w:top w:w="28" w:type="dxa"/>
          <w:left w:w="28" w:type="dxa"/>
          <w:bottom w:w="28" w:type="dxa"/>
          <w:right w:w="28" w:type="dxa"/>
        </w:tblCellMar>
      </w:tblPr>
      <w:tblGrid>
        <w:gridCol w:w="1114"/>
        <w:gridCol w:w="979"/>
        <w:gridCol w:w="982"/>
        <w:gridCol w:w="569"/>
        <w:gridCol w:w="527"/>
        <w:gridCol w:w="271"/>
        <w:gridCol w:w="109"/>
        <w:gridCol w:w="109"/>
        <w:gridCol w:w="109"/>
        <w:gridCol w:w="570"/>
        <w:gridCol w:w="526"/>
        <w:gridCol w:w="357"/>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Share options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30,870,682 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19,558,856 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3,265,306 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potentially dilutive securities</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34,152,238</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22,866,067</w:t>
            </w:r>
            <w:r>
              <w:rPr>
                <w:color w:val="000000"/>
              </w:rPr>
              <w:t>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Fair Value Measurements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the following levels:</w:t>
      </w:r>
    </w:p>
    <w:p>
      <w:pPr>
        <w:pStyle w:val="TextBody"/>
        <w:bidi w:val="0"/>
        <w:spacing w:lineRule="auto" w:line="288" w:before="120" w:after="283"/>
        <w:ind w:left="0" w:right="0" w:firstLine="720"/>
        <w:jc w:val="both"/>
        <w:rPr>
          <w:color w:val="000000"/>
        </w:rPr>
      </w:pPr>
      <w:r>
        <w:rPr>
          <w:color w:val="000000"/>
        </w:rPr>
        <w:t xml:space="preserve">• </w:t>
      </w: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120" w:after="283"/>
        <w:ind w:left="0" w:right="0" w:firstLine="720"/>
        <w:jc w:val="both"/>
        <w:rPr>
          <w:color w:val="000000"/>
        </w:rPr>
      </w:pPr>
      <w:r>
        <w:rPr>
          <w:color w:val="000000"/>
        </w:rPr>
        <w:t xml:space="preserve">• </w:t>
      </w:r>
      <w:r>
        <w:rPr>
          <w:rFonts w:ascii="Times New Roman;serif" w:hAnsi="Times New Roman;serif"/>
          <w:b w:val="false"/>
          <w:color w:val="000000"/>
          <w:sz w:val="20"/>
        </w:rPr>
        <w:t>Level 2 — Inputs other than quoted prices included within Level 1 that are observable for the asset or liability, either directly or indirectly.</w:t>
      </w:r>
    </w:p>
    <w:p>
      <w:pPr>
        <w:pStyle w:val="TextBody"/>
        <w:bidi w:val="0"/>
        <w:spacing w:lineRule="auto" w:line="288" w:before="120" w:after="283"/>
        <w:ind w:left="0" w:right="0" w:firstLine="720"/>
        <w:jc w:val="both"/>
        <w:rPr>
          <w:color w:val="000000"/>
        </w:rPr>
      </w:pPr>
      <w:r>
        <w:rPr>
          <w:color w:val="000000"/>
        </w:rPr>
        <w:t xml:space="preserve">• </w:t>
      </w:r>
      <w:r>
        <w:rPr>
          <w:rFonts w:ascii="Times New Roman;serif" w:hAnsi="Times New Roman;serif"/>
          <w:b w:val="false"/>
          <w:color w:val="000000"/>
          <w:sz w:val="20"/>
        </w:rPr>
        <w:t>Level 3 — Unobservable inputs that reflect the Company’s own assumptions about the assumptions market participants would use in pricing the asset or liability.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reported in the balance sheet for cash and cash equivalents, restricted cash, prepaid expenses and other assets, accounts payable and accrued expenses and other liabilities approximate their fair value because of the short-term nature of these instruments.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measured at fair value on a recurring basis and indicate the level of the fair value hierarchy utilized to determine such fair values (in thousands):</w:t>
      </w:r>
    </w:p>
    <w:tbl>
      <w:tblPr>
        <w:tblW w:w="10205" w:type="dxa"/>
        <w:jc w:val="left"/>
        <w:tblInd w:w="0" w:type="dxa"/>
        <w:tblLayout w:type="fixed"/>
        <w:tblCellMar>
          <w:top w:w="28" w:type="dxa"/>
          <w:left w:w="28" w:type="dxa"/>
          <w:bottom w:w="28" w:type="dxa"/>
          <w:right w:w="28" w:type="dxa"/>
        </w:tblCellMar>
      </w:tblPr>
      <w:tblGrid>
        <w:gridCol w:w="770"/>
        <w:gridCol w:w="644"/>
        <w:gridCol w:w="648"/>
        <w:gridCol w:w="261"/>
        <w:gridCol w:w="1041"/>
        <w:gridCol w:w="134"/>
        <w:gridCol w:w="109"/>
        <w:gridCol w:w="109"/>
        <w:gridCol w:w="109"/>
        <w:gridCol w:w="344"/>
        <w:gridCol w:w="1372"/>
        <w:gridCol w:w="177"/>
        <w:gridCol w:w="109"/>
        <w:gridCol w:w="109"/>
        <w:gridCol w:w="109"/>
        <w:gridCol w:w="301"/>
        <w:gridCol w:w="1200"/>
        <w:gridCol w:w="155"/>
        <w:gridCol w:w="109"/>
        <w:gridCol w:w="109"/>
        <w:gridCol w:w="109"/>
        <w:gridCol w:w="490"/>
        <w:gridCol w:w="944"/>
        <w:gridCol w:w="255"/>
        <w:gridCol w:w="109"/>
        <w:gridCol w:w="109"/>
        <w:gridCol w:w="109"/>
        <w:gridCol w:w="161"/>
      </w:tblGrid>
      <w:tr>
        <w:trPr/>
        <w:tc>
          <w:tcPr>
            <w:tcW w:w="7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 classified as cash equivalents:</w:t>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112,152</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87,546</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24,606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color w:val="000000"/>
                <w:sz w:val="20"/>
              </w:rPr>
            </w:pPr>
            <w:r>
              <w:rPr>
                <w:rFonts w:ascii="Times New Roman;serif" w:hAnsi="Times New Roman;serif"/>
                <w:b/>
                <w:color w:val="000000"/>
                <w:sz w:val="20"/>
              </w:rPr>
              <w:t>Assets classified as marketable securities: available-for-sale debt securities</w:t>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330,454</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19,436</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311,018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442,606</w:t>
            </w:r>
            <w:r>
              <w:rPr>
                <w:color w:val="000000"/>
              </w:rPr>
              <w:t>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106,982</w:t>
            </w:r>
            <w:r>
              <w:rPr>
                <w:color w:val="000000"/>
              </w:rPr>
              <w:t> </w:t>
            </w:r>
          </w:p>
        </w:tc>
        <w:tc>
          <w:tcPr>
            <w:tcW w:w="1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335,624</w:t>
            </w:r>
            <w:r>
              <w:rPr>
                <w:color w:val="000000"/>
              </w:rPr>
              <w:t>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tbl>
      <w:tblPr>
        <w:tblW w:w="10205" w:type="dxa"/>
        <w:jc w:val="left"/>
        <w:tblInd w:w="0" w:type="dxa"/>
        <w:tblLayout w:type="fixed"/>
        <w:tblCellMar>
          <w:top w:w="28" w:type="dxa"/>
          <w:left w:w="28" w:type="dxa"/>
          <w:bottom w:w="28" w:type="dxa"/>
          <w:right w:w="28" w:type="dxa"/>
        </w:tblCellMar>
      </w:tblPr>
      <w:tblGrid>
        <w:gridCol w:w="770"/>
        <w:gridCol w:w="644"/>
        <w:gridCol w:w="648"/>
        <w:gridCol w:w="261"/>
        <w:gridCol w:w="1041"/>
        <w:gridCol w:w="134"/>
        <w:gridCol w:w="109"/>
        <w:gridCol w:w="109"/>
        <w:gridCol w:w="109"/>
        <w:gridCol w:w="344"/>
        <w:gridCol w:w="1372"/>
        <w:gridCol w:w="177"/>
        <w:gridCol w:w="109"/>
        <w:gridCol w:w="109"/>
        <w:gridCol w:w="109"/>
        <w:gridCol w:w="301"/>
        <w:gridCol w:w="1200"/>
        <w:gridCol w:w="155"/>
        <w:gridCol w:w="109"/>
        <w:gridCol w:w="109"/>
        <w:gridCol w:w="109"/>
        <w:gridCol w:w="490"/>
        <w:gridCol w:w="944"/>
        <w:gridCol w:w="255"/>
        <w:gridCol w:w="109"/>
        <w:gridCol w:w="109"/>
        <w:gridCol w:w="109"/>
        <w:gridCol w:w="161"/>
      </w:tblGrid>
      <w:tr>
        <w:trPr/>
        <w:tc>
          <w:tcPr>
            <w:tcW w:w="7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 classified as cash equivalents:</w:t>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219,992</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121,436</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98,556</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color w:val="000000"/>
                <w:sz w:val="20"/>
              </w:rPr>
            </w:pPr>
            <w:r>
              <w:rPr>
                <w:rFonts w:ascii="Times New Roman;serif" w:hAnsi="Times New Roman;serif"/>
                <w:b/>
                <w:color w:val="000000"/>
                <w:sz w:val="20"/>
              </w:rPr>
              <w:t>Assets classified as marketable securities: available-for-sale debt securities</w:t>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360,643</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47,071</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313,572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580,635</w:t>
            </w:r>
            <w:r>
              <w:rPr>
                <w:color w:val="000000"/>
              </w:rPr>
              <w:t> </w:t>
            </w:r>
          </w:p>
        </w:tc>
        <w:tc>
          <w:tcPr>
            <w:tcW w:w="1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168,507</w:t>
            </w:r>
            <w:r>
              <w:rPr>
                <w:color w:val="000000"/>
              </w:rPr>
              <w:t> </w:t>
            </w:r>
          </w:p>
        </w:tc>
        <w:tc>
          <w:tcPr>
            <w:tcW w:w="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412,128</w:t>
            </w:r>
            <w:r>
              <w:rPr>
                <w:color w:val="000000"/>
              </w:rPr>
              <w:t>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available-for-sale debt securities using actual trade and indicative prices sourced from third-party providers on a daily basis to estimate the fair value. If observable market prices are not available (such as for securities with short maturities and limited second market activity), the securities are priced using a valuation model that maximizes the use of observable inputs, such as market interest rates.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did not have non-financial assets measured at fair value on a recurring basis. During the three and six months ended June 30, 2025 and the year ended December 31, 2024, there were no transfers between fair value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Marketable Securities: Available-For-Sale Debt Securities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has the following investments in available-for-sale debt securities, which are categorized as marketable securities: available-for-sale debt securities on the balance sheet depending on their maturity at acquisition (in thousands):</w:t>
      </w:r>
    </w:p>
    <w:tbl>
      <w:tblPr>
        <w:tblW w:w="10205" w:type="dxa"/>
        <w:jc w:val="left"/>
        <w:tblInd w:w="0" w:type="dxa"/>
        <w:tblLayout w:type="fixed"/>
        <w:tblCellMar>
          <w:top w:w="28" w:type="dxa"/>
          <w:left w:w="28" w:type="dxa"/>
          <w:bottom w:w="28" w:type="dxa"/>
          <w:right w:w="28" w:type="dxa"/>
        </w:tblCellMar>
      </w:tblPr>
      <w:tblGrid>
        <w:gridCol w:w="700"/>
        <w:gridCol w:w="606"/>
        <w:gridCol w:w="608"/>
        <w:gridCol w:w="109"/>
        <w:gridCol w:w="109"/>
        <w:gridCol w:w="109"/>
        <w:gridCol w:w="484"/>
        <w:gridCol w:w="484"/>
        <w:gridCol w:w="486"/>
        <w:gridCol w:w="109"/>
        <w:gridCol w:w="109"/>
        <w:gridCol w:w="109"/>
        <w:gridCol w:w="219"/>
        <w:gridCol w:w="874"/>
        <w:gridCol w:w="113"/>
        <w:gridCol w:w="109"/>
        <w:gridCol w:w="109"/>
        <w:gridCol w:w="109"/>
        <w:gridCol w:w="322"/>
        <w:gridCol w:w="735"/>
        <w:gridCol w:w="166"/>
        <w:gridCol w:w="109"/>
        <w:gridCol w:w="109"/>
        <w:gridCol w:w="109"/>
        <w:gridCol w:w="371"/>
        <w:gridCol w:w="664"/>
        <w:gridCol w:w="194"/>
        <w:gridCol w:w="109"/>
        <w:gridCol w:w="109"/>
        <w:gridCol w:w="109"/>
        <w:gridCol w:w="268"/>
        <w:gridCol w:w="1070"/>
        <w:gridCol w:w="206"/>
      </w:tblGrid>
      <w:tr>
        <w:trPr/>
        <w:tc>
          <w:tcPr>
            <w:tcW w:w="7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contractual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110,543 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to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to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330,393</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330,454</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tbl>
      <w:tblPr>
        <w:tblW w:w="10205" w:type="dxa"/>
        <w:jc w:val="left"/>
        <w:tblInd w:w="0" w:type="dxa"/>
        <w:tblLayout w:type="fixed"/>
        <w:tblCellMar>
          <w:top w:w="28" w:type="dxa"/>
          <w:left w:w="28" w:type="dxa"/>
          <w:bottom w:w="28" w:type="dxa"/>
          <w:right w:w="28" w:type="dxa"/>
        </w:tblCellMar>
      </w:tblPr>
      <w:tblGrid>
        <w:gridCol w:w="700"/>
        <w:gridCol w:w="606"/>
        <w:gridCol w:w="608"/>
        <w:gridCol w:w="109"/>
        <w:gridCol w:w="109"/>
        <w:gridCol w:w="109"/>
        <w:gridCol w:w="484"/>
        <w:gridCol w:w="484"/>
        <w:gridCol w:w="486"/>
        <w:gridCol w:w="109"/>
        <w:gridCol w:w="109"/>
        <w:gridCol w:w="109"/>
        <w:gridCol w:w="219"/>
        <w:gridCol w:w="874"/>
        <w:gridCol w:w="113"/>
        <w:gridCol w:w="109"/>
        <w:gridCol w:w="109"/>
        <w:gridCol w:w="109"/>
        <w:gridCol w:w="370"/>
        <w:gridCol w:w="661"/>
        <w:gridCol w:w="193"/>
        <w:gridCol w:w="109"/>
        <w:gridCol w:w="109"/>
        <w:gridCol w:w="109"/>
        <w:gridCol w:w="324"/>
        <w:gridCol w:w="739"/>
        <w:gridCol w:w="167"/>
        <w:gridCol w:w="109"/>
        <w:gridCol w:w="109"/>
        <w:gridCol w:w="109"/>
        <w:gridCol w:w="268"/>
        <w:gridCol w:w="1070"/>
        <w:gridCol w:w="204"/>
      </w:tblGrid>
      <w:tr>
        <w:trPr/>
        <w:tc>
          <w:tcPr>
            <w:tcW w:w="7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 contractual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estimated fair value</w:t>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to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to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360,960</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(344)</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360,643</w:t>
            </w: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securities held by the Company and aggregate fair value (in thousands) and in an unrealized loss position as of June 30, 2025 and December 31, 2024 are as follows (in thousands):</w:t>
      </w:r>
    </w:p>
    <w:tbl>
      <w:tblPr>
        <w:tblW w:w="10205" w:type="dxa"/>
        <w:jc w:val="left"/>
        <w:tblInd w:w="0" w:type="dxa"/>
        <w:tblLayout w:type="fixed"/>
        <w:tblCellMar>
          <w:top w:w="28" w:type="dxa"/>
          <w:left w:w="28" w:type="dxa"/>
          <w:bottom w:w="28" w:type="dxa"/>
          <w:right w:w="28" w:type="dxa"/>
        </w:tblCellMar>
      </w:tblPr>
      <w:tblGrid>
        <w:gridCol w:w="1406"/>
        <w:gridCol w:w="1229"/>
        <w:gridCol w:w="1232"/>
        <w:gridCol w:w="109"/>
        <w:gridCol w:w="109"/>
        <w:gridCol w:w="109"/>
        <w:gridCol w:w="451"/>
        <w:gridCol w:w="451"/>
        <w:gridCol w:w="453"/>
        <w:gridCol w:w="109"/>
        <w:gridCol w:w="109"/>
        <w:gridCol w:w="109"/>
        <w:gridCol w:w="412"/>
        <w:gridCol w:w="737"/>
        <w:gridCol w:w="215"/>
        <w:gridCol w:w="109"/>
        <w:gridCol w:w="109"/>
        <w:gridCol w:w="109"/>
        <w:gridCol w:w="460"/>
        <w:gridCol w:w="1836"/>
        <w:gridCol w:w="342"/>
      </w:tblGrid>
      <w:tr>
        <w:trPr/>
        <w:tc>
          <w:tcPr>
            <w:tcW w:w="140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securities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market value of investments in an unrealized loss position</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 in a continuous loss position for 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159,781</w:t>
            </w:r>
            <w:r>
              <w:rPr>
                <w:color w:val="000000"/>
              </w:rPr>
              <w:t>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1405"/>
        <w:gridCol w:w="1229"/>
        <w:gridCol w:w="1232"/>
        <w:gridCol w:w="109"/>
        <w:gridCol w:w="109"/>
        <w:gridCol w:w="109"/>
        <w:gridCol w:w="451"/>
        <w:gridCol w:w="451"/>
        <w:gridCol w:w="453"/>
        <w:gridCol w:w="109"/>
        <w:gridCol w:w="109"/>
        <w:gridCol w:w="109"/>
        <w:gridCol w:w="359"/>
        <w:gridCol w:w="819"/>
        <w:gridCol w:w="186"/>
        <w:gridCol w:w="109"/>
        <w:gridCol w:w="109"/>
        <w:gridCol w:w="109"/>
        <w:gridCol w:w="460"/>
        <w:gridCol w:w="1836"/>
        <w:gridCol w:w="343"/>
      </w:tblGrid>
      <w:tr>
        <w:trPr/>
        <w:tc>
          <w:tcPr>
            <w:tcW w:w="140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securities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market value of investments in an unrealized loss position</w:t>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Marketable securities: available-for-sale debt securities in a continuous loss position for less than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133,078 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141,307 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9" w:type="dxa"/>
            <w:gridSpan w:val="3"/>
            <w:tcBorders/>
            <w:vAlign w:val="center"/>
          </w:tcPr>
          <w:p>
            <w:pPr>
              <w:pStyle w:val="TableContents"/>
              <w:bidi w:val="0"/>
              <w:spacing w:before="0" w:after="283"/>
              <w:jc w:val="left"/>
              <w:rPr>
                <w:sz w:val="4"/>
                <w:szCs w:val="4"/>
              </w:rPr>
            </w:pPr>
            <w:r>
              <w:rPr>
                <w:sz w:val="4"/>
                <w:szCs w:val="4"/>
              </w:rPr>
            </w:r>
          </w:p>
        </w:tc>
      </w:tr>
      <w:tr>
        <w:trPr/>
        <w:tc>
          <w:tcPr>
            <w:tcW w:w="3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Treasury Bills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(344)</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293,234</w:t>
            </w:r>
            <w:r>
              <w:rPr>
                <w:color w:val="000000"/>
              </w:rPr>
              <w:t>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aggregated net unrealized loss on available-for-sale debt securities in the amount of $0.1 million has been recognized in accumulated other comprehensive loss in the Company's condensed consolidated balance sheet as of June 30, 2025.</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2025, the Company held 42 marketable securities: available-for-sale debt securities out of its total investment portfolio that were in a continuous unrealized loss position. As of June 30, 2025, no allowance for expected credit losses has been recognized in relation to securities in an unrealized loss position. The related unrealized losses are not severe, have been for a short duration and are due to normal market, exchange rate fluctuations and all securities have an investment-grade credit rating. The Company neither intends to sell these investments nor has concluded that it will more-likely-than-not have to sell them before recovery of their carrying values. The Company also believes that it will be able to collect both principal and interest amounts due to the Company at maturity.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amounts reclassified out of other comprehensive income (loss), net of tax during the three and six months ended June 30, 2025 and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Inventories,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 (in thousands):</w:t>
      </w:r>
    </w:p>
    <w:tbl>
      <w:tblPr>
        <w:tblW w:w="5478" w:type="dxa"/>
        <w:jc w:val="left"/>
        <w:tblInd w:w="0" w:type="dxa"/>
        <w:tblLayout w:type="fixed"/>
        <w:tblCellMar>
          <w:top w:w="28" w:type="dxa"/>
          <w:left w:w="28" w:type="dxa"/>
          <w:bottom w:w="28" w:type="dxa"/>
          <w:right w:w="28" w:type="dxa"/>
        </w:tblCellMar>
      </w:tblPr>
      <w:tblGrid>
        <w:gridCol w:w="695"/>
        <w:gridCol w:w="610"/>
        <w:gridCol w:w="614"/>
        <w:gridCol w:w="109"/>
        <w:gridCol w:w="109"/>
        <w:gridCol w:w="109"/>
        <w:gridCol w:w="211"/>
        <w:gridCol w:w="736"/>
        <w:gridCol w:w="109"/>
        <w:gridCol w:w="109"/>
        <w:gridCol w:w="109"/>
        <w:gridCol w:w="109"/>
        <w:gridCol w:w="279"/>
        <w:gridCol w:w="835"/>
        <w:gridCol w:w="145"/>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4,138</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Inventory reserves as of June 30, 2025 and December 31, 2024 amounted to $2.4 million and nil, respectively. Inventory reserves for the three and six months ended June 30, 2025 amounted to $2.5 million and $3.2 million, respectively as a charge to cost of sales, reflecting estimated obsolescence and lower market values. There were no inventory reserves recorded for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Prepaid Expenses and Other Current Assets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812" w:type="dxa"/>
        <w:jc w:val="left"/>
        <w:tblInd w:w="0" w:type="dxa"/>
        <w:tblLayout w:type="fixed"/>
        <w:tblCellMar>
          <w:top w:w="28" w:type="dxa"/>
          <w:left w:w="28" w:type="dxa"/>
          <w:bottom w:w="28" w:type="dxa"/>
          <w:right w:w="28" w:type="dxa"/>
        </w:tblCellMar>
      </w:tblPr>
      <w:tblGrid>
        <w:gridCol w:w="1495"/>
        <w:gridCol w:w="1311"/>
        <w:gridCol w:w="1318"/>
        <w:gridCol w:w="211"/>
        <w:gridCol w:w="736"/>
        <w:gridCol w:w="109"/>
        <w:gridCol w:w="109"/>
        <w:gridCol w:w="109"/>
        <w:gridCol w:w="109"/>
        <w:gridCol w:w="250"/>
        <w:gridCol w:w="873"/>
        <w:gridCol w:w="182"/>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claims receivable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VAT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taxes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and lease deposit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67,328</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Property and Equipment, Net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5703" w:type="dxa"/>
        <w:jc w:val="left"/>
        <w:tblInd w:w="0" w:type="dxa"/>
        <w:tblLayout w:type="fixed"/>
        <w:tblCellMar>
          <w:top w:w="28" w:type="dxa"/>
          <w:left w:w="28" w:type="dxa"/>
          <w:bottom w:w="28" w:type="dxa"/>
          <w:right w:w="28" w:type="dxa"/>
        </w:tblCellMar>
      </w:tblPr>
      <w:tblGrid>
        <w:gridCol w:w="1093"/>
        <w:gridCol w:w="958"/>
        <w:gridCol w:w="964"/>
        <w:gridCol w:w="211"/>
        <w:gridCol w:w="736"/>
        <w:gridCol w:w="109"/>
        <w:gridCol w:w="109"/>
        <w:gridCol w:w="109"/>
        <w:gridCol w:w="109"/>
        <w:gridCol w:w="250"/>
        <w:gridCol w:w="873"/>
        <w:gridCol w:w="182"/>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Assets under construction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66,467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49,553</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2025 and 2024 was $2.1 million and $1.9 million, respectively, and for the six months ended June 30, 2025 and 2024 was $4.1 million and $3.7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11. Intangible Assets,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the Company's intangible assets, net of accumulated amortization (in thousands):</w:t>
      </w:r>
    </w:p>
    <w:tbl>
      <w:tblPr>
        <w:tblW w:w="6150" w:type="dxa"/>
        <w:jc w:val="left"/>
        <w:tblInd w:w="0" w:type="dxa"/>
        <w:tblLayout w:type="fixed"/>
        <w:tblCellMar>
          <w:top w:w="28" w:type="dxa"/>
          <w:left w:w="28" w:type="dxa"/>
          <w:bottom w:w="28" w:type="dxa"/>
          <w:right w:w="28" w:type="dxa"/>
        </w:tblCellMar>
      </w:tblPr>
      <w:tblGrid>
        <w:gridCol w:w="978"/>
        <w:gridCol w:w="858"/>
        <w:gridCol w:w="864"/>
        <w:gridCol w:w="109"/>
        <w:gridCol w:w="109"/>
        <w:gridCol w:w="109"/>
        <w:gridCol w:w="211"/>
        <w:gridCol w:w="736"/>
        <w:gridCol w:w="109"/>
        <w:gridCol w:w="109"/>
        <w:gridCol w:w="109"/>
        <w:gridCol w:w="109"/>
        <w:gridCol w:w="251"/>
        <w:gridCol w:w="878"/>
        <w:gridCol w:w="130"/>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Licensed IP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intangibles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12,373</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three months ended June 30, 2025 and 2024 was $0.3 million and nil, respectively, and for the six months ended June 30, 2025 and 2024 was $0.6 million and nil, respectively. The estimated annual amortization expense related to this asset is $1.2 million for each of the five years ending in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12. Accrued Expenses and Other Liabilities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 (in thousands):</w:t>
      </w:r>
    </w:p>
    <w:tbl>
      <w:tblPr>
        <w:tblW w:w="6467" w:type="dxa"/>
        <w:jc w:val="left"/>
        <w:tblInd w:w="0" w:type="dxa"/>
        <w:tblLayout w:type="fixed"/>
        <w:tblCellMar>
          <w:top w:w="28" w:type="dxa"/>
          <w:left w:w="28" w:type="dxa"/>
          <w:bottom w:w="28" w:type="dxa"/>
          <w:right w:w="28" w:type="dxa"/>
        </w:tblCellMar>
      </w:tblPr>
      <w:tblGrid>
        <w:gridCol w:w="1369"/>
        <w:gridCol w:w="1203"/>
        <w:gridCol w:w="1207"/>
        <w:gridCol w:w="211"/>
        <w:gridCol w:w="736"/>
        <w:gridCol w:w="109"/>
        <w:gridCol w:w="109"/>
        <w:gridCol w:w="109"/>
        <w:gridCol w:w="109"/>
        <w:gridCol w:w="250"/>
        <w:gridCol w:w="873"/>
        <w:gridCol w:w="182"/>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Manufacturing accruals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VAT accrual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Rebates, chargebacks and returns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accrued expenses and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51,366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52,276</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13. Shareholders’ 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Ordinary Shares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Each holder of ordinary shares is entitled to one vote per ordinary share and to receive dividends when and if such dividends are recommended by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board of directors and declared by the shareholders. As of June 30, 2025, the Company has not declared any dividends.</w:t>
      </w:r>
    </w:p>
    <w:p>
      <w:pPr>
        <w:pStyle w:val="TextBody"/>
        <w:bidi w:val="0"/>
        <w:spacing w:lineRule="auto" w:line="288" w:before="240" w:after="283"/>
        <w:jc w:val="both"/>
        <w:rPr>
          <w:rFonts w:ascii="Times New Roman;serif" w:hAnsi="Times New Roman;serif"/>
          <w:b/>
          <w:i/>
          <w:color w:val="212529"/>
          <w:sz w:val="20"/>
        </w:rPr>
      </w:pPr>
      <w:r>
        <w:rPr>
          <w:rFonts w:ascii="Times New Roman;serif" w:hAnsi="Times New Roman;serif"/>
          <w:b/>
          <w:i/>
          <w:color w:val="212529"/>
          <w:sz w:val="20"/>
        </w:rPr>
        <w:t>Restricted Stock Units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2025, restricted stock unit awards for 3,574 ordinary shares had vested but the underlying shares had not been issued. However, these vested restricted stock unit awards have been included in the calculation of the Company’s outstanding shares at June 30, 2025 as they are considered issuable for little or no cash consideration. Subsequent to June 30, 2025, 3,574 of the underlying ordinary shares were issued.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February 2024 Underwritten Offering</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On February 12, 2024, the Company completed an underwritten offering of </w:t>
      </w:r>
      <w:r>
        <w:rPr>
          <w:rFonts w:ascii="Times New Roman;serif" w:hAnsi="Times New Roman;serif"/>
          <w:b w:val="false"/>
          <w:color w:val="000000"/>
          <w:sz w:val="20"/>
          <w:shd w:fill="FFFFFF" w:val="clear"/>
        </w:rPr>
        <w:t>58,333,336</w:t>
      </w:r>
      <w:r>
        <w:rPr>
          <w:color w:val="000000"/>
        </w:rPr>
        <w:t xml:space="preserve"> </w:t>
      </w:r>
      <w:r>
        <w:rPr>
          <w:rFonts w:ascii="Times New Roman;serif" w:hAnsi="Times New Roman;serif"/>
          <w:b w:val="false"/>
          <w:color w:val="000000"/>
          <w:sz w:val="20"/>
        </w:rPr>
        <w:t xml:space="preserve">ADSs representing 58,333,336 ordinary shares at an offering price of $6.00 per ADS. Aggregate net proceeds to the Company, after underwriting discounts and offering expenses, were </w:t>
      </w:r>
      <w:r>
        <w:rPr>
          <w:rFonts w:ascii="Times New Roman;serif" w:hAnsi="Times New Roman;serif"/>
          <w:b w:val="false"/>
          <w:color w:val="000000"/>
          <w:sz w:val="20"/>
          <w:shd w:fill="FFFFFF" w:val="clear"/>
        </w:rPr>
        <w:t>$326.8 million</w:t>
      </w:r>
      <w:r>
        <w:rPr>
          <w:rFonts w:ascii="Times New Roman;serif" w:hAnsi="Times New Roman;serif"/>
          <w:b w:val="false"/>
          <w:color w:val="000000"/>
          <w:sz w:val="20"/>
        </w:rPr>
        <w: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BioNTech Securities Purchase Agreement</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Concurrently with the execution of the BioNTech License and Option Agreement (see Note 3 and Note 15), the Company and BioNTech entered into the BioNTech Securities Purchase Agreement pursuant to which the Company sold ADSs, each representing one ordinary share, to BioNTech in a private placement transaction </w:t>
      </w:r>
      <w:r>
        <w:rPr>
          <w:rFonts w:ascii="Times New Roman;serif" w:hAnsi="Times New Roman;serif"/>
          <w:b w:val="false"/>
          <w:color w:val="000000"/>
          <w:sz w:val="20"/>
        </w:rPr>
        <w:t>(the “Private Placement”)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On February 13, 2024, the Company completed the Private Placement of 33,333,333 ADSs representing 33,333,333 ordinary shares at an offering price of $6.00 per ADS. Aggregate net proceeds to the Company, after underwriting discounts and offering expenses, were </w:t>
      </w:r>
      <w:r>
        <w:rPr>
          <w:rFonts w:ascii="Times New Roman;serif" w:hAnsi="Times New Roman;serif"/>
          <w:b w:val="false"/>
          <w:color w:val="000000"/>
          <w:sz w:val="20"/>
          <w:shd w:fill="FFFFFF" w:val="clear"/>
        </w:rPr>
        <w:t>$193.8 million</w:t>
      </w:r>
      <w:r>
        <w:rPr>
          <w:rFonts w:ascii="Times New Roman;serif" w:hAnsi="Times New Roman;serif"/>
          <w:b w:val="false"/>
          <w:color w:val="000000"/>
          <w:sz w:val="20"/>
        </w:rPr>
        <w:t>.</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that BioNTech and the Company enter into a joint manufacturing and commercial services agreement within 18 months of the initial closing of the Private Placement, BioNTech will purchase up to 15,000,000 ADSs for an aggregate purchase price of up to $20.0 million, subject to additional limitations and restrictions.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14. Share-Based Compensation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share-based compensation expense included in the unaudited condensed consolidated statements of operations and comprehensive loss (in thousands):</w:t>
      </w:r>
    </w:p>
    <w:tbl>
      <w:tblPr>
        <w:tblW w:w="10205" w:type="dxa"/>
        <w:jc w:val="center"/>
        <w:tblInd w:w="0" w:type="dxa"/>
        <w:tblLayout w:type="fixed"/>
        <w:tblCellMar>
          <w:top w:w="28" w:type="dxa"/>
          <w:left w:w="28" w:type="dxa"/>
          <w:bottom w:w="28" w:type="dxa"/>
          <w:right w:w="28" w:type="dxa"/>
        </w:tblCellMar>
      </w:tblPr>
      <w:tblGrid>
        <w:gridCol w:w="1763"/>
        <w:gridCol w:w="1541"/>
        <w:gridCol w:w="1549"/>
        <w:gridCol w:w="246"/>
        <w:gridCol w:w="737"/>
        <w:gridCol w:w="127"/>
        <w:gridCol w:w="127"/>
        <w:gridCol w:w="127"/>
        <w:gridCol w:w="127"/>
        <w:gridCol w:w="246"/>
        <w:gridCol w:w="737"/>
        <w:gridCol w:w="127"/>
        <w:gridCol w:w="109"/>
        <w:gridCol w:w="109"/>
        <w:gridCol w:w="109"/>
        <w:gridCol w:w="224"/>
        <w:gridCol w:w="672"/>
        <w:gridCol w:w="115"/>
        <w:gridCol w:w="115"/>
        <w:gridCol w:w="115"/>
        <w:gridCol w:w="115"/>
        <w:gridCol w:w="224"/>
        <w:gridCol w:w="672"/>
        <w:gridCol w:w="172"/>
      </w:tblGrid>
      <w:tr>
        <w:trPr/>
        <w:tc>
          <w:tcPr>
            <w:tcW w:w="176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to intangibles, net / property and equipment,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share-based compensation expense</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4,293</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2,935</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7,160</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5,219</w:t>
            </w:r>
            <w:r>
              <w:rPr>
                <w:color w:val="000000"/>
              </w:rPr>
              <w:t>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 Options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Company’s share option activity during the six months ended June 30, 2025:</w:t>
      </w:r>
    </w:p>
    <w:tbl>
      <w:tblPr>
        <w:tblW w:w="10205" w:type="dxa"/>
        <w:jc w:val="left"/>
        <w:tblInd w:w="0" w:type="dxa"/>
        <w:tblLayout w:type="fixed"/>
        <w:tblCellMar>
          <w:top w:w="28" w:type="dxa"/>
          <w:left w:w="28" w:type="dxa"/>
          <w:bottom w:w="28" w:type="dxa"/>
          <w:right w:w="28" w:type="dxa"/>
        </w:tblCellMar>
      </w:tblPr>
      <w:tblGrid>
        <w:gridCol w:w="1104"/>
        <w:gridCol w:w="954"/>
        <w:gridCol w:w="960"/>
        <w:gridCol w:w="124"/>
        <w:gridCol w:w="124"/>
        <w:gridCol w:w="124"/>
        <w:gridCol w:w="626"/>
        <w:gridCol w:w="628"/>
        <w:gridCol w:w="393"/>
        <w:gridCol w:w="124"/>
        <w:gridCol w:w="124"/>
        <w:gridCol w:w="124"/>
        <w:gridCol w:w="340"/>
        <w:gridCol w:w="849"/>
        <w:gridCol w:w="177"/>
        <w:gridCol w:w="124"/>
        <w:gridCol w:w="124"/>
        <w:gridCol w:w="124"/>
        <w:gridCol w:w="437"/>
        <w:gridCol w:w="437"/>
        <w:gridCol w:w="439"/>
        <w:gridCol w:w="124"/>
        <w:gridCol w:w="124"/>
        <w:gridCol w:w="124"/>
        <w:gridCol w:w="286"/>
        <w:gridCol w:w="858"/>
        <w:gridCol w:w="229"/>
      </w:tblGrid>
      <w:tr>
        <w:trPr/>
        <w:tc>
          <w:tcPr>
            <w:tcW w:w="110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w:t>
              <w:br/>
              <w:t>Options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Exercise </w:t>
              <w:br/>
              <w:t>Price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Remaining </w:t>
              <w:br/>
              <w:t xml:space="preserve">Contractual </w:t>
              <w:br/>
              <w:t xml:space="preserve">Term </w:t>
              <w:br/>
              <w:t>(Years)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Aggregate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Intrinsic </w:t>
            </w:r>
          </w:p>
          <w:p>
            <w:pPr>
              <w:pStyle w:val="TableContents"/>
              <w:bidi w:val="0"/>
              <w:spacing w:lineRule="auto" w:line="240" w:before="0" w:after="0"/>
              <w:jc w:val="center"/>
              <w:rPr/>
            </w:pPr>
            <w:r>
              <w:rPr>
                <w:rFonts w:ascii="Times New Roman;serif" w:hAnsi="Times New Roman;serif"/>
                <w:b/>
                <w:color w:val="000000"/>
                <w:sz w:val="20"/>
              </w:rPr>
              <w:t xml:space="preserve">Value </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20,754,316 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11,343,597 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(505,251)</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(721,980)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as of June 30, 2025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30,870,682</w:t>
            </w:r>
            <w:r>
              <w:rPr>
                <w:color w:val="000000"/>
              </w:rPr>
              <w:t>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5,157</w:t>
            </w: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12,649,123 </w:t>
            </w:r>
          </w:p>
        </w:tc>
        <w:tc>
          <w:tcPr>
            <w:tcW w:w="3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June 30, 2025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30,870,682 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(1) Aggregate intrinsic value is calculated as the difference between the exercise price of the underlying options and the fair value of ordinary shares for those options in the money as of June 30, 2025.</w:t>
            </w:r>
          </w:p>
        </w:tc>
      </w:tr>
    </w:tbl>
    <w:p>
      <w:pPr>
        <w:pStyle w:val="TextBody"/>
        <w:bidi w:val="0"/>
        <w:spacing w:lineRule="auto" w:line="288" w:before="24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weighted average grant-date fair value of share options granted was $1.38 per share option for the six months ended June 30, 2025. The weighted average grant-date fair value of share options granted was $3.12, per share option for the six months ended June 30, 2024.</w:t>
      </w:r>
    </w:p>
    <w:p>
      <w:pPr>
        <w:pStyle w:val="TextBody"/>
        <w:bidi w:val="0"/>
        <w:spacing w:lineRule="auto" w:line="247" w:before="120" w:after="283"/>
        <w:ind w:left="0" w:right="0" w:firstLine="630"/>
        <w:jc w:val="both"/>
        <w:rPr/>
      </w:pPr>
      <w:r>
        <w:rPr>
          <w:rFonts w:ascii="Times New Roman;serif" w:hAnsi="Times New Roman;serif"/>
          <w:b w:val="false"/>
          <w:color w:val="000000"/>
          <w:sz w:val="24"/>
        </w:rPr>
        <w:t>T</w:t>
      </w:r>
      <w:r>
        <w:rPr>
          <w:rFonts w:ascii="Times New Roman;serif" w:hAnsi="Times New Roman;serif"/>
          <w:b w:val="false"/>
          <w:color w:val="000000"/>
          <w:sz w:val="20"/>
        </w:rPr>
        <w:t>he total intrinsic value of share options exercised was nil for the six months ended June 30, 2025. The total intrinsic value of options exercised was $0.4 million for the six months ended June 30, 2024.</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 total unrecognized compensation expense related to unvested share options without performance conditions was $19.0 million, which the Company expects to recognize over a weighted average vesting period of 3.19 years.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 table below summarizes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restricted stock unit (“RSU”) awards activity during the six months ended June 30, 2025:</w:t>
      </w:r>
    </w:p>
    <w:tbl>
      <w:tblPr>
        <w:tblW w:w="7603" w:type="dxa"/>
        <w:jc w:val="left"/>
        <w:tblInd w:w="0" w:type="dxa"/>
        <w:tblLayout w:type="fixed"/>
        <w:tblCellMar>
          <w:top w:w="28" w:type="dxa"/>
          <w:left w:w="28" w:type="dxa"/>
          <w:bottom w:w="28" w:type="dxa"/>
          <w:right w:w="28" w:type="dxa"/>
        </w:tblCellMar>
      </w:tblPr>
      <w:tblGrid>
        <w:gridCol w:w="1472"/>
        <w:gridCol w:w="1294"/>
        <w:gridCol w:w="1298"/>
        <w:gridCol w:w="109"/>
        <w:gridCol w:w="109"/>
        <w:gridCol w:w="109"/>
        <w:gridCol w:w="396"/>
        <w:gridCol w:w="399"/>
        <w:gridCol w:w="351"/>
        <w:gridCol w:w="109"/>
        <w:gridCol w:w="109"/>
        <w:gridCol w:w="109"/>
        <w:gridCol w:w="411"/>
        <w:gridCol w:w="1027"/>
        <w:gridCol w:w="301"/>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Number of </w:t>
              <w:br/>
              <w:t xml:space="preserve">restricted </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 xml:space="preserve">grant date </w:t>
              <w:br/>
              <w:t>fair value</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and 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and outstanding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16,250</w:t>
            </w:r>
            <w:r>
              <w:rPr>
                <w:color w:val="000000"/>
              </w:rPr>
              <w:t>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less than $0.1 million of unrecognized share-based compensation expense related to unvested RSUs without performance conditions, which is expected to be recognized over a weighted average period of 0.82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15. Liabilities Related to Future Royalties and Milestones,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the Company's liabilities related to future royalties and milestones, net (in thousands):</w:t>
      </w:r>
    </w:p>
    <w:tbl>
      <w:tblPr>
        <w:tblW w:w="8400" w:type="dxa"/>
        <w:jc w:val="left"/>
        <w:tblInd w:w="0" w:type="dxa"/>
        <w:tblLayout w:type="fixed"/>
        <w:tblCellMar>
          <w:top w:w="28" w:type="dxa"/>
          <w:left w:w="28" w:type="dxa"/>
          <w:bottom w:w="28" w:type="dxa"/>
          <w:right w:w="28" w:type="dxa"/>
        </w:tblCellMar>
      </w:tblPr>
      <w:tblGrid>
        <w:gridCol w:w="2215"/>
        <w:gridCol w:w="1951"/>
        <w:gridCol w:w="1957"/>
        <w:gridCol w:w="248"/>
        <w:gridCol w:w="248"/>
        <w:gridCol w:w="248"/>
        <w:gridCol w:w="109"/>
        <w:gridCol w:w="109"/>
        <w:gridCol w:w="109"/>
        <w:gridCol w:w="211"/>
        <w:gridCol w:w="841"/>
        <w:gridCol w:w="154"/>
      </w:tblGrid>
      <w:tr>
        <w:trPr/>
        <w:tc>
          <w:tcPr>
            <w:tcW w:w="221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8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accrued on liabilities related to future royalties and milestones,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catch-up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payments (royalties)</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250,631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current versus non-current split of the liabilities related to future royalties and milestones, net (in thousands):</w:t>
      </w:r>
    </w:p>
    <w:tbl>
      <w:tblPr>
        <w:tblW w:w="9301" w:type="dxa"/>
        <w:jc w:val="left"/>
        <w:tblInd w:w="0" w:type="dxa"/>
        <w:tblLayout w:type="fixed"/>
        <w:tblCellMar>
          <w:top w:w="28" w:type="dxa"/>
          <w:left w:w="28" w:type="dxa"/>
          <w:bottom w:w="28" w:type="dxa"/>
          <w:right w:w="28" w:type="dxa"/>
        </w:tblCellMar>
      </w:tblPr>
      <w:tblGrid>
        <w:gridCol w:w="2356"/>
        <w:gridCol w:w="2073"/>
        <w:gridCol w:w="2080"/>
        <w:gridCol w:w="211"/>
        <w:gridCol w:w="841"/>
        <w:gridCol w:w="109"/>
        <w:gridCol w:w="109"/>
        <w:gridCol w:w="109"/>
        <w:gridCol w:w="109"/>
        <w:gridCol w:w="228"/>
        <w:gridCol w:w="910"/>
        <w:gridCol w:w="166"/>
      </w:tblGrid>
      <w:tr>
        <w:trPr/>
        <w:tc>
          <w:tcPr>
            <w:tcW w:w="2356"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Current portion of liabilities related to future royalties and milestones, net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portion of liabilities related to future royalties and milestones, net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liabilities related to future royalties and milestones,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250,631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248,100</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and 2024, interest expense on liabilities related to future royalties and milestones, net amounted to $10.7 million and $10.2 million, respectively. During the six months ended June 30, 2025 and 2024, interest expense on liabilities related to future royalties and milestones, net amounted to $20.8 million and $18.6 million, respectively. </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During the three months ended </w:t>
      </w:r>
      <w:r>
        <w:rPr>
          <w:rFonts w:ascii="Times New Roman;serif" w:hAnsi="Times New Roman;serif"/>
          <w:b w:val="false"/>
          <w:color w:val="000000"/>
          <w:sz w:val="20"/>
        </w:rPr>
        <w:t>June 30, 2025 and 2024</w:t>
      </w:r>
      <w:r>
        <w:rPr>
          <w:rFonts w:ascii="Times New Roman;serif" w:hAnsi="Times New Roman;serif"/>
          <w:b w:val="false"/>
          <w:color w:val="000000"/>
          <w:sz w:val="20"/>
          <w:shd w:fill="FFFFFF" w:val="clear"/>
        </w:rPr>
        <w:t xml:space="preserve">, the cumulative catch-up adjustment amounted to </w:t>
      </w:r>
      <w:r>
        <w:rPr>
          <w:rFonts w:ascii="Times New Roman;serif" w:hAnsi="Times New Roman;serif"/>
          <w:b w:val="false"/>
          <w:color w:val="000000"/>
          <w:sz w:val="20"/>
        </w:rPr>
        <w:t>$17.5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nil, respectively</w:t>
      </w:r>
      <w:r>
        <w:rPr>
          <w:rFonts w:ascii="Times New Roman;serif" w:hAnsi="Times New Roman;serif"/>
          <w:b w:val="false"/>
          <w:color w:val="000000"/>
          <w:sz w:val="20"/>
          <w:shd w:fill="FFFFFF" w:val="clear"/>
        </w:rPr>
        <w:t xml:space="preserve">. During the six months ended </w:t>
      </w:r>
      <w:r>
        <w:rPr>
          <w:rFonts w:ascii="Times New Roman;serif" w:hAnsi="Times New Roman;serif"/>
          <w:b w:val="false"/>
          <w:color w:val="000000"/>
          <w:sz w:val="20"/>
        </w:rPr>
        <w:t>June 30, 2025 and 2024</w:t>
      </w:r>
      <w:r>
        <w:rPr>
          <w:rFonts w:ascii="Times New Roman;serif" w:hAnsi="Times New Roman;serif"/>
          <w:b w:val="false"/>
          <w:color w:val="000000"/>
          <w:sz w:val="20"/>
          <w:shd w:fill="FFFFFF" w:val="clear"/>
        </w:rPr>
        <w:t xml:space="preserve">, the cumulative catch-up adjustment amounted to </w:t>
      </w:r>
      <w:r>
        <w:rPr>
          <w:rFonts w:ascii="Times New Roman;serif" w:hAnsi="Times New Roman;serif"/>
          <w:b w:val="false"/>
          <w:color w:val="000000"/>
          <w:sz w:val="20"/>
        </w:rPr>
        <w:t>$17.5 million and</w:t>
      </w:r>
      <w:r>
        <w:rPr>
          <w:color w:val="000000"/>
          <w:shd w:fill="FFFFFF" w:val="clear"/>
        </w:rPr>
        <w:t xml:space="preserve"> </w:t>
      </w:r>
      <w:r>
        <w:rPr>
          <w:rFonts w:ascii="Times New Roman;serif" w:hAnsi="Times New Roman;serif"/>
          <w:b w:val="false"/>
          <w:color w:val="000000"/>
          <w:sz w:val="20"/>
        </w:rPr>
        <w:t>$10.9 million, respectively</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Blackstone Collaboration Agreement</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November 6, 2021, the Company concurrently entered into the following agreements with BXLS V - Autobahn L.P, (“Blackstone”): (i) Strategic Collaboration Agreement (the “Blackstone Collaboration Agreement”), (ii) Securities Purchase Agreement (the “Blackstone Securities Purchase Agreement”), (iii) Warrant Agreement (the “Blackstone Warrant”) and (iv) Registration Rights Agreement (the “Blackstone Registration Rights Agreement”). The Blackstone Collaboration Agreement, the Blackstone Securities Purchase Agreement, the Blackstone Warrant and the Blackstone Registration Rights Agreement are collectively referred to as the “Blackstone Agreements”. The Blackstone Agreements were entered into and in contemplation of one another and, accordingly, the Company assessed the accounting for the Blackstone Agreements in the aggregate.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further details on the terms and accounting treatment considerations for these contracts, please refer to following notes to the Company’s consolidated financial statements contained in the Company’s Annual Report:</w:t>
      </w:r>
    </w:p>
    <w:p>
      <w:pPr>
        <w:pStyle w:val="TextBody"/>
        <w:bidi w:val="0"/>
        <w:spacing w:lineRule="auto" w:line="288" w:before="12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Note 2, “Summary of significant accounting policies”</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 xml:space="preserve">Note 12, “Liabilities related to future royalties and milestones, net” </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rPr>
        <w:t xml:space="preserve">Note 13, </w:t>
      </w:r>
      <w:r>
        <w:rPr>
          <w:color w:val="000000"/>
          <w:shd w:fill="FFFFFF" w:val="clear"/>
        </w:rPr>
        <w:t>“</w:t>
      </w:r>
      <w:r>
        <w:rPr>
          <w:rFonts w:ascii="Times New Roman;serif" w:hAnsi="Times New Roman;serif"/>
          <w:b w:val="false"/>
          <w:color w:val="000000"/>
          <w:sz w:val="20"/>
        </w:rPr>
        <w:t>Warrants</w:t>
      </w:r>
      <w:r>
        <w:rPr>
          <w:color w:val="000000"/>
          <w:shd w:fill="FFFFFF" w:val="clear"/>
        </w:rPr>
        <w:t>”</w:t>
      </w:r>
    </w:p>
    <w:p>
      <w:pPr>
        <w:pStyle w:val="TextBody"/>
        <w:bidi w:val="0"/>
        <w:spacing w:lineRule="auto" w:line="288" w:before="60" w:after="283"/>
        <w:ind w:left="0" w:right="0" w:firstLine="360"/>
        <w:jc w:val="both"/>
        <w:rPr/>
      </w:pPr>
      <w:r>
        <w:rPr>
          <w:color w:val="000000"/>
          <w:shd w:fill="FFFFFF" w:val="clear"/>
        </w:rPr>
        <w:t>•</w:t>
      </w:r>
      <w:r>
        <w:rPr>
          <w:rFonts w:ascii="Times New Roman;serif" w:hAnsi="Times New Roman;serif"/>
          <w:b w:val="false"/>
          <w:color w:val="000000"/>
          <w:sz w:val="20"/>
          <w:shd w:fill="FFFFFF" w:val="clear"/>
        </w:rPr>
        <w:t>Note 14, “Shareholders’ equity”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2021, the upfront payment of $50.0 million was paid by Blackstone upon execution of the Blackstone Collaboration Agreement. In December 2022, two Blackstone Development Payments were paid by Blackstone of $35.0 million each as a result of (i) the joint steering committee’s review of the Company’s interim analysis of pivotal FELIX Phase 2 clinical trial of obe-cel in r/r B-ALL and (ii) achievement of a pre-agreed manufacturing milestone as a result of completion of planned activities demonstrating the performance and qualification of the Company’s obe-cel’s manufacturing process. On November 8, 2024, the Company was notified by the FDA that the Company has been granted marketing approval for AUCATZYL for the treatment of adult patients (18 years and older) with r/r B-ALL. The remaining $30.0 million of Blackstone Development Payments due upon such approval were paid to the Company in December 2024.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BioNTech Agreements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6, 2024, the Company concurrently entered into the BioNTech Agreements. The BioNTech Agreements were entered into and in contemplation of one another and, accordingly, the Company assessed the accounting for these agreements in the aggregate. The following descriptions of the BioNTech Agreements do not purport to be complete and are qualified in their entirety by reference to the full texts of such agreements.</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further details on the terms and accounting treatment considerations for these contracts, please refer to following notes to the Company’s consolidated financial statements contained in the Company’s Annual Report:</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Note 1, “Nature of the business”</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2, “Summary of significant accounting policies”</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3, “Revenue”</w:t>
      </w:r>
    </w:p>
    <w:p>
      <w:pPr>
        <w:pStyle w:val="TextBody"/>
        <w:bidi w:val="0"/>
        <w:spacing w:lineRule="auto" w:line="288" w:before="60" w:after="283"/>
        <w:ind w:left="0" w:right="0" w:firstLine="360"/>
        <w:jc w:val="both"/>
        <w:rPr/>
      </w:pPr>
      <w:r>
        <w:rPr>
          <w:color w:val="212529"/>
          <w:shd w:fill="FFFFFF" w:val="clear"/>
        </w:rPr>
        <w:t>•</w:t>
      </w:r>
      <w:r>
        <w:rPr>
          <w:rFonts w:ascii="Times New Roman;serif" w:hAnsi="Times New Roman;serif"/>
          <w:b w:val="false"/>
          <w:color w:val="000000"/>
          <w:sz w:val="20"/>
          <w:shd w:fill="FFFFFF" w:val="clear"/>
        </w:rPr>
        <w:t xml:space="preserve">Note 12, “Liabilities related to future royalties and milestones, net” </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14, “Shareholders’ equity”</w:t>
      </w:r>
    </w:p>
    <w:p>
      <w:pPr>
        <w:pStyle w:val="TextBody"/>
        <w:bidi w:val="0"/>
        <w:spacing w:lineRule="auto" w:line="288" w:before="60" w:after="283"/>
        <w:ind w:left="0" w:right="0" w:firstLine="360"/>
        <w:jc w:val="both"/>
        <w:rPr/>
      </w:pPr>
      <w:r>
        <w:rPr>
          <w:color w:val="000000"/>
        </w:rPr>
        <w:t>•</w:t>
      </w:r>
      <w:r>
        <w:rPr>
          <w:rFonts w:ascii="Times New Roman;serif" w:hAnsi="Times New Roman;serif"/>
          <w:b w:val="false"/>
          <w:color w:val="000000"/>
          <w:sz w:val="20"/>
        </w:rPr>
        <w:t>Note 20, “Commitments and contingencies”</w:t>
      </w:r>
    </w:p>
    <w:p>
      <w:pPr>
        <w:pStyle w:val="TextBody"/>
        <w:bidi w:val="0"/>
        <w:spacing w:lineRule="auto" w:line="288" w:before="240" w:after="283"/>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Obe-cel Product Revenue Interest</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Under the BioNTech License and Option Agreement, BioNTech has agreed to financially support the expansion of the clinical development program for, and planned commercialization of obe-cel. In exchange for the grant of rights to future revenues from the sales of obe-cel products, BioNTech made an upfront payment to the Company of $40.0 million. The Company will pay BioNTech a low single-digit percentage of annual net sales of obe-cel products, which may be increased up to a mid-single digit percentage in exchange for milestone payments of up to $100.0 million in the aggregate on achievement of certain regulatory events for specific new indications upon BioNTech's election. </w:t>
      </w:r>
      <w:r>
        <w:rPr>
          <w:rFonts w:ascii="Times New Roman;serif" w:hAnsi="Times New Roman;serif"/>
          <w:b w:val="false"/>
          <w:color w:val="000000"/>
          <w:sz w:val="20"/>
        </w:rPr>
        <w:t xml:space="preserve">The Company has accounted for the Obe-cel Product Revenue Interest as a liability primarily due to the Company’s significant continuing involvement in generating the royalty stream. In February 2024, the Company initially recognized the BioNTech Liability at $38.3 million being the face value less debt issuance costs. </w:t>
      </w:r>
    </w:p>
    <w:p>
      <w:pPr>
        <w:pStyle w:val="TextBody"/>
        <w:bidi w:val="0"/>
        <w:spacing w:lineRule="auto" w:line="288" w:before="240" w:after="283"/>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Manufacturing and Commercial Services Agreement</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the terms of the BioNTech License and Option Agreement, the Company has agreed to grant BioNTech the option to negotiate a joint manufacturing and commercial services agreement pursuant to which the parties may access and leverage each other’s manufacturing and commercial capabilities, in addition to Autolus’ commercial site network and infrastructure, with respect to certain of each parties’ CAR T products, including BioNTech’s product candidate BNT211 (the “Manufacturing and Commercial Services Agreement” or “MCSA”). The MCSA, if entered into, would also grant BioNTech access to the Company’s commercial site network and infrastructure. On August 6, 2025, the MCSA option expired unexercised.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 of the Blackstone Collaboration Liability and BioNTech Liability is based on the Company’s estimate of the future royalties to be paid to BioNTech to be received over the life of the arrangement as discounted using an effective interest rate. The excess or deficit of estimated present value of future royalties over the initial carrying amount, is recognized using the cumulative catch-up method within interest expense using the initial effective interest rate. The imputed rate of interest on the unamortized portion of the Blackstone Collaboration Liability and BioNTech Liability was approximately 15.80% and 28.70% as of June 30, 2025, respectively.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 quarterly basis, the Company assesses the amount and timing of expected royalty using a combination of internal projections and forecasts from external sources. To the extent the present value of such payments is greater or less than its initial estimates or the timing of such payments is materially different than its original estimates, the Company will adjust the amortization of the BioNTech Liability using the cumulative catch-up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16. Leases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leases - Lessee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office space, laboratory space, and equipment. At the inception of an arrangement, the Company determines whether the arrangement is or contains a lease based on the unique facts and circumstances present.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costs as a lessee for the three and six months ended June 30, 2025 and 2024 were as follows (in thousands):</w:t>
      </w:r>
    </w:p>
    <w:tbl>
      <w:tblPr>
        <w:tblW w:w="7561" w:type="dxa"/>
        <w:jc w:val="left"/>
        <w:tblInd w:w="0" w:type="dxa"/>
        <w:tblLayout w:type="fixed"/>
        <w:tblCellMar>
          <w:top w:w="28" w:type="dxa"/>
          <w:left w:w="28" w:type="dxa"/>
          <w:bottom w:w="28" w:type="dxa"/>
          <w:right w:w="28" w:type="dxa"/>
        </w:tblCellMar>
      </w:tblPr>
      <w:tblGrid>
        <w:gridCol w:w="673"/>
        <w:gridCol w:w="591"/>
        <w:gridCol w:w="595"/>
        <w:gridCol w:w="109"/>
        <w:gridCol w:w="109"/>
        <w:gridCol w:w="109"/>
        <w:gridCol w:w="248"/>
        <w:gridCol w:w="743"/>
        <w:gridCol w:w="128"/>
        <w:gridCol w:w="128"/>
        <w:gridCol w:w="128"/>
        <w:gridCol w:w="128"/>
        <w:gridCol w:w="248"/>
        <w:gridCol w:w="743"/>
        <w:gridCol w:w="128"/>
        <w:gridCol w:w="109"/>
        <w:gridCol w:w="109"/>
        <w:gridCol w:w="109"/>
        <w:gridCol w:w="225"/>
        <w:gridCol w:w="674"/>
        <w:gridCol w:w="116"/>
        <w:gridCol w:w="116"/>
        <w:gridCol w:w="116"/>
        <w:gridCol w:w="116"/>
        <w:gridCol w:w="225"/>
        <w:gridCol w:w="674"/>
        <w:gridCol w:w="16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2,491</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2,674</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5,174</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5,417</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for the three months ended June 30, 2025 and 2024 were as follows (in thousands):</w:t>
      </w:r>
    </w:p>
    <w:tbl>
      <w:tblPr>
        <w:tblW w:w="9109" w:type="dxa"/>
        <w:jc w:val="left"/>
        <w:tblInd w:w="0" w:type="dxa"/>
        <w:tblLayout w:type="fixed"/>
        <w:tblCellMar>
          <w:top w:w="28" w:type="dxa"/>
          <w:left w:w="28" w:type="dxa"/>
          <w:bottom w:w="28" w:type="dxa"/>
          <w:right w:w="28" w:type="dxa"/>
        </w:tblCellMar>
      </w:tblPr>
      <w:tblGrid>
        <w:gridCol w:w="1552"/>
        <w:gridCol w:w="1363"/>
        <w:gridCol w:w="1371"/>
        <w:gridCol w:w="278"/>
        <w:gridCol w:w="278"/>
        <w:gridCol w:w="278"/>
        <w:gridCol w:w="278"/>
        <w:gridCol w:w="278"/>
        <w:gridCol w:w="278"/>
        <w:gridCol w:w="110"/>
        <w:gridCol w:w="110"/>
        <w:gridCol w:w="110"/>
        <w:gridCol w:w="423"/>
        <w:gridCol w:w="349"/>
        <w:gridCol w:w="351"/>
        <w:gridCol w:w="218"/>
        <w:gridCol w:w="218"/>
        <w:gridCol w:w="218"/>
        <w:gridCol w:w="423"/>
        <w:gridCol w:w="259"/>
        <w:gridCol w:w="366"/>
      </w:tblGrid>
      <w:tr>
        <w:trPr/>
        <w:tc>
          <w:tcPr>
            <w:tcW w:w="15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cash (inflows) outflows from operating leases</w:t>
            </w:r>
            <w:r>
              <w:rPr>
                <w:rFonts w:ascii="Times New Roman;serif" w:hAnsi="Times New Roman;serif"/>
                <w:b w:val="false"/>
                <w:color w:val="000000"/>
                <w:sz w:val="13"/>
              </w:rPr>
              <w:t>(1)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w:t>
            </w:r>
          </w:p>
        </w:tc>
      </w:tr>
      <w:tr>
        <w:trPr/>
        <w:tc>
          <w:tcPr>
            <w:tcW w:w="910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(1) Includes lease incentives received during the six months ended June 30, 2025 relating to the Company's Nucleus facility lease.</w:t>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702"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weighted average discount rate of operating leases as of June 30, 2025 and 2024 were as follows:</w:t>
      </w:r>
    </w:p>
    <w:tbl>
      <w:tblPr>
        <w:tblW w:w="7812" w:type="dxa"/>
        <w:jc w:val="left"/>
        <w:tblInd w:w="0" w:type="dxa"/>
        <w:tblLayout w:type="fixed"/>
        <w:tblCellMar>
          <w:top w:w="28" w:type="dxa"/>
          <w:left w:w="28" w:type="dxa"/>
          <w:bottom w:w="28" w:type="dxa"/>
          <w:right w:w="28" w:type="dxa"/>
        </w:tblCellMar>
      </w:tblPr>
      <w:tblGrid>
        <w:gridCol w:w="593"/>
        <w:gridCol w:w="521"/>
        <w:gridCol w:w="521"/>
        <w:gridCol w:w="521"/>
        <w:gridCol w:w="521"/>
        <w:gridCol w:w="521"/>
        <w:gridCol w:w="521"/>
        <w:gridCol w:w="521"/>
        <w:gridCol w:w="542"/>
        <w:gridCol w:w="109"/>
        <w:gridCol w:w="109"/>
        <w:gridCol w:w="109"/>
        <w:gridCol w:w="292"/>
        <w:gridCol w:w="219"/>
        <w:gridCol w:w="516"/>
        <w:gridCol w:w="196"/>
        <w:gridCol w:w="196"/>
        <w:gridCol w:w="196"/>
        <w:gridCol w:w="292"/>
        <w:gridCol w:w="219"/>
        <w:gridCol w:w="577"/>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76"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76"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676" w:type="dxa"/>
            <w:gridSpan w:val="6"/>
            <w:tcBorders/>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78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years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years</w:t>
            </w:r>
          </w:p>
        </w:tc>
      </w:tr>
      <w:tr>
        <w:trPr/>
        <w:tc>
          <w:tcPr>
            <w:tcW w:w="47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8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maturities of operating lease liabilities as of June 30, 2025 were as follows (in thousands):</w:t>
      </w:r>
    </w:p>
    <w:tbl>
      <w:tblPr>
        <w:tblW w:w="9561" w:type="dxa"/>
        <w:jc w:val="left"/>
        <w:tblInd w:w="0" w:type="dxa"/>
        <w:tblLayout w:type="fixed"/>
        <w:tblCellMar>
          <w:top w:w="28" w:type="dxa"/>
          <w:left w:w="28" w:type="dxa"/>
          <w:bottom w:w="28" w:type="dxa"/>
          <w:right w:w="28" w:type="dxa"/>
        </w:tblCellMar>
      </w:tblPr>
      <w:tblGrid>
        <w:gridCol w:w="1976"/>
        <w:gridCol w:w="1734"/>
        <w:gridCol w:w="1757"/>
        <w:gridCol w:w="214"/>
        <w:gridCol w:w="214"/>
        <w:gridCol w:w="214"/>
        <w:gridCol w:w="214"/>
        <w:gridCol w:w="214"/>
        <w:gridCol w:w="214"/>
        <w:gridCol w:w="214"/>
        <w:gridCol w:w="214"/>
        <w:gridCol w:w="214"/>
        <w:gridCol w:w="415"/>
        <w:gridCol w:w="1450"/>
        <w:gridCol w:w="303"/>
      </w:tblGrid>
      <w:tr>
        <w:trPr/>
        <w:tc>
          <w:tcPr>
            <w:tcW w:w="197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2025</w:t>
            </w:r>
            <w:r>
              <w:rPr>
                <w:rFonts w:ascii="Times New Roman;serif" w:hAnsi="Times New Roman;serif"/>
                <w:b w:val="false"/>
                <w:color w:val="000000"/>
                <w:sz w:val="13"/>
              </w:rPr>
              <w:t>(1)</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(55,288)</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lease liabilities</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64,535</w:t>
            </w:r>
            <w:r>
              <w:rPr>
                <w:color w:val="000000"/>
              </w:rPr>
              <w:t>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561"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16"/>
              </w:rPr>
            </w:pPr>
            <w:r>
              <w:rPr>
                <w:rFonts w:ascii="Times New Roman;serif" w:hAnsi="Times New Roman;serif"/>
                <w:b w:val="false"/>
                <w:i/>
                <w:color w:val="000000"/>
                <w:sz w:val="16"/>
              </w:rPr>
              <w:t>(1) Includes lease incentives from the Nucleus facility lease variation amounting to $3.3 million for the year ending December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an exclusive license agreement, as amended (the “UCLB License Agreement”), with UCL Business Ltd (“UCLB”). In connection with the UCLB License Agreement, the Company is required to make annual license payments and may be required to make payments to UCLB upon the achievement of specified milestones, including upon regulatory approval for obe-cel. During the three and six months ended June 30, 2025, nil paid or payable to UCLB by the Company, relating to the income allocable to the value of the sublicensed intellectual property rights.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18, 2025, the Company was notified by the European Commission that the Company has been granted marketing approval for AUCATZYL (obecabtagene autoleucel) for the treatment of adult patients (26 years and older) with r/r B-ALL which triggered a £6.0 million ($8.2 million translated at the balance sheet date spot rate) regulatory milestone payment in accordance with the UCLB License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2022, the Company renegotiated a master services agreement with Adaptive Biotechnologies Corporation (“Adaptive”), under which Adaptive's assay is used to analyze patient samples from r/r B-ALL patients. During the year ended December 31, 2023, the Company recognized all contractual milestones relating to this contract. Under the then-current agreement, the Company would be obligated to make specified payments to Adaptive upon the achievement and receipt of certain regulatory approvals and achievement of commercial milestones in connection with the Company’s use of the Adaptive assay.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previous periods, the Company has entered into agreements with certain advisory firms. The Company is obligated to make specified payments upon the achievement of certain strategic transactions involving the Company. During the three and six months ended June 30, 2024, the Company paid a fee under these agreements. There were no fees paid or payable to strategic advisory firms during the three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estimated the probability of the Company achieving each potential milestone in relation to the agreements with UCLB, Miltenyi and its agreements with certain advisory firms in accordance with ASC 450. The Company considers regulatory approval, commercial milestones and execution of collaboration agreements probable when actually achieved. Furthermore, the Company recognizes expenses for clinical milestones when their achievement is deemed probable. The Company concluded that, as of June 30, 2025, there were no other milestones for which the likelihood of achievement was currently probable.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Capital Commitments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Company’s unconditional purchase obligations for capital expenditures totaled $13.0 million and included signed orders for capital equipment and capital expenditures for construction and related expenditures relating to its properties in the United Kingdom and the United States. The Company expects to incur the full amount of these obligations within one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Master Supply Commitments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Company’s unconditional purchase obligations with Miltenyi Biotec GmbH for reagents and consumables totaled $3.5 million, which the Company expects to incur within one year.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BioNTech Agreements</w:t>
      </w:r>
    </w:p>
    <w:p>
      <w:pPr>
        <w:pStyle w:val="TextBody"/>
        <w:bidi w:val="0"/>
        <w:spacing w:lineRule="auto" w:line="288" w:before="120" w:after="283"/>
        <w:ind w:left="0" w:right="0" w:firstLine="720"/>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BioNTech License and Option Agreement - Product Options gain contingency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Product Options within the BioNTech License and Option Agreement were an embedded feature within a freestanding financial instrument, the Company assessed if the Product Options should be accounted for as a derivative under ASC 815. However, the Company determined the Product Options met the scope exception for derivative accounting under ASC 815 and therefore should be accounted for a gain contingency under the scope of ASC 450. As of June 30, 2025 and December 31, 2024, the Product Options were not exercised and, therefore, no amounts were recognized.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15, “Liabilities related to future royalties and milestones, net” for further details about the BioNTech Agreements.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litigation or subject to claims incident to the ordinary course of business. Regardless of the outcome, litigation can have an adverse impact on the Company because of defense and settlement costs, diversion of management resources and other factors. The Company was not a party to any litigation and did not have contingency reserves established for any liabilities as of June 30, 2025 and December 31,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they involve claims that may be made against the Company in the future.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indemnification agreements entered into with relevant individuals in accordance with the Company’s Articles of Association, the Company has indemnification obligations to its directors, officers and members of senior management for certain events or occurrences, subject to certain limits, while they are serving at the Company’s request in such capacity.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claims to date under these indemnification agreements, and the Company has director and officer insurance that may enable it to recover a portion of any amounts paid for future potential claims.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SME R&amp;D tax credit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accounting period to December 2023, based on the relevant tax legislation, the Company met the conditions of the R&amp;D intensive scheme, and therefore submitted its corporate tax return on this basis. This is subject to agreement by the United Kingdom tax authority. The tax authority's non-statutory guidance, includes some expenditure in the calculation of whether a company meets the R&amp;D intensive scheme, which is in conflict with the criteria in the tax legislation. The position is uncertain and the legislation is currently untested in the United Kingdom courts. If the Company's claim is unsuccessful, normal SME relief will be available and there will be a material reduction in the value of the tax credit obtained (18.6% as opposed to 26.97% net benefit). Should the uncertainty be resolved in the Company’s favor, this would result in a gain and would be accounted for as a gain contingency under the scope of ASC 450. This uncertainty only applies to one accounting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18. Segment Reporting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Long-lived assets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Long-lived assets (excluding intangibles, deferred tax and financial instruments) were located as follows (in thousands):</w:t>
      </w:r>
    </w:p>
    <w:tbl>
      <w:tblPr>
        <w:tblW w:w="6121" w:type="dxa"/>
        <w:jc w:val="left"/>
        <w:tblInd w:w="0" w:type="dxa"/>
        <w:tblLayout w:type="fixed"/>
        <w:tblCellMar>
          <w:top w:w="28" w:type="dxa"/>
          <w:left w:w="28" w:type="dxa"/>
          <w:bottom w:w="28" w:type="dxa"/>
          <w:right w:w="28" w:type="dxa"/>
        </w:tblCellMar>
      </w:tblPr>
      <w:tblGrid>
        <w:gridCol w:w="772"/>
        <w:gridCol w:w="677"/>
        <w:gridCol w:w="680"/>
        <w:gridCol w:w="109"/>
        <w:gridCol w:w="109"/>
        <w:gridCol w:w="109"/>
        <w:gridCol w:w="109"/>
        <w:gridCol w:w="109"/>
        <w:gridCol w:w="109"/>
        <w:gridCol w:w="109"/>
        <w:gridCol w:w="109"/>
        <w:gridCol w:w="109"/>
        <w:gridCol w:w="211"/>
        <w:gridCol w:w="841"/>
        <w:gridCol w:w="109"/>
        <w:gridCol w:w="109"/>
        <w:gridCol w:w="109"/>
        <w:gridCol w:w="109"/>
        <w:gridCol w:w="229"/>
        <w:gridCol w:w="913"/>
        <w:gridCol w:w="118"/>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105,051</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Revenue recognized by geographic area are disclosed in Note 3, </w:t>
      </w:r>
      <w:r>
        <w:rPr>
          <w:color w:val="000000"/>
        </w:rPr>
        <w:t>“</w:t>
      </w:r>
      <w:r>
        <w:rPr>
          <w:rFonts w:ascii="Times New Roman;serif" w:hAnsi="Times New Roman;serif"/>
          <w:b w:val="false"/>
          <w:color w:val="000000"/>
          <w:sz w:val="20"/>
          <w:shd w:fill="FFFFFF" w:val="clear"/>
        </w:rPr>
        <w:t>Revenue</w:t>
      </w:r>
      <w:r>
        <w:rPr>
          <w:color w:val="000000"/>
        </w:rPr>
        <w:t>”</w:t>
      </w:r>
      <w:r>
        <w:rPr>
          <w:rFonts w:ascii="Times New Roman;serif" w:hAnsi="Times New Roman;serif"/>
          <w:b w:val="false"/>
          <w:color w:val="000000"/>
          <w:sz w:val="20"/>
          <w:shd w:fill="FFFFFF" w:val="clear"/>
        </w:rPr>
        <w:t>.</w:t>
      </w:r>
    </w:p>
    <w:p>
      <w:pPr>
        <w:pStyle w:val="TextBody"/>
        <w:bidi w:val="0"/>
        <w:spacing w:lineRule="auto" w:line="26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 loss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is a summary of the segment loss, including significant segment expenses (in thousands):</w:t>
      </w:r>
    </w:p>
    <w:tbl>
      <w:tblPr>
        <w:tblW w:w="10205" w:type="dxa"/>
        <w:jc w:val="left"/>
        <w:tblInd w:w="0" w:type="dxa"/>
        <w:tblLayout w:type="fixed"/>
        <w:tblCellMar>
          <w:top w:w="28" w:type="dxa"/>
          <w:left w:w="28" w:type="dxa"/>
          <w:bottom w:w="28" w:type="dxa"/>
          <w:right w:w="28" w:type="dxa"/>
        </w:tblCellMar>
      </w:tblPr>
      <w:tblGrid>
        <w:gridCol w:w="1205"/>
        <w:gridCol w:w="988"/>
        <w:gridCol w:w="991"/>
        <w:gridCol w:w="265"/>
        <w:gridCol w:w="985"/>
        <w:gridCol w:w="136"/>
        <w:gridCol w:w="136"/>
        <w:gridCol w:w="136"/>
        <w:gridCol w:w="136"/>
        <w:gridCol w:w="265"/>
        <w:gridCol w:w="985"/>
        <w:gridCol w:w="136"/>
        <w:gridCol w:w="133"/>
        <w:gridCol w:w="133"/>
        <w:gridCol w:w="133"/>
        <w:gridCol w:w="260"/>
        <w:gridCol w:w="1095"/>
        <w:gridCol w:w="133"/>
        <w:gridCol w:w="133"/>
        <w:gridCol w:w="133"/>
        <w:gridCol w:w="133"/>
        <w:gridCol w:w="260"/>
        <w:gridCol w:w="1095"/>
        <w:gridCol w:w="200"/>
      </w:tblGrid>
      <w:tr>
        <w:trPr/>
        <w:tc>
          <w:tcPr>
            <w:tcW w:w="120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Less:</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clinical development</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delivery</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and Medical affairs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 functions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net </w:t>
            </w:r>
            <w:r>
              <w:rPr>
                <w:rFonts w:ascii="Times New Roman;serif" w:hAnsi="Times New Roman;serif"/>
                <w:b w:val="false"/>
                <w:color w:val="000000"/>
                <w:sz w:val="13"/>
              </w:rPr>
              <w:t>(1)</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(82,140)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(58,929)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(156,362)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(107,777)</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(61,217)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(58,929)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(126,457)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(97,686)</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gain (losses)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and consolidated net loss</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(47,917)</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(58,272)</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(118,081)</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(110,962)</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rPr>
            </w:pPr>
            <w:r>
              <w:rPr>
                <w:rFonts w:ascii="Times New Roman;serif" w:hAnsi="Times New Roman;serif"/>
                <w:b w:val="false"/>
                <w:i/>
                <w:color w:val="000000"/>
                <w:sz w:val="16"/>
              </w:rPr>
              <w:t>(1) Other segment expenses, net include United Kingdom research and development tax credits, depreciation, amortization and share-based compensation expenses.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19. Related Party Transactions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Blackstone Agreements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In November 2021, the Company concurrently entered into the Blackstone Agreements. As of the execution of the Blackstone Agreements, Blackstone became a related party of the Company, as Blackstone became the owner of more than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rPr>
        <w:t xml:space="preserve">of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outstanding voting securities. In addition, Blackstone received and exercised its right to nominate one director to the board of directors of the Company and is therefore considered to be one of the principal owners of the Company. As of June 30, 2025, Blackstone holds more than 5% of the Company's outstanding voting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AUTOLUS THERAPEUTICS PLC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Interim Financial Statements - Continued</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As of June 30, 2025, the carrying amount of the </w:t>
      </w:r>
      <w:r>
        <w:rPr>
          <w:rFonts w:ascii="Times New Roman;serif" w:hAnsi="Times New Roman;serif"/>
          <w:b w:val="false"/>
          <w:color w:val="000000"/>
          <w:sz w:val="20"/>
          <w:shd w:fill="FFFFFF" w:val="clear"/>
        </w:rPr>
        <w:t xml:space="preserve">Blackstone Collaboration Agreement Liability was $212.6 million. For the six months ended </w:t>
      </w:r>
      <w:r>
        <w:rPr>
          <w:rFonts w:ascii="Times New Roman;serif" w:hAnsi="Times New Roman;serif"/>
          <w:b w:val="false"/>
          <w:color w:val="000000"/>
          <w:sz w:val="20"/>
        </w:rPr>
        <w:t>June 30, 2025, the</w:t>
      </w:r>
      <w:r>
        <w:rPr>
          <w:color w:val="000000"/>
          <w:shd w:fill="FFFFFF" w:val="clear"/>
        </w:rPr>
        <w:t xml:space="preserve"> </w:t>
      </w:r>
      <w:r>
        <w:rPr>
          <w:rFonts w:ascii="Times New Roman;serif" w:hAnsi="Times New Roman;serif"/>
          <w:b w:val="false"/>
          <w:color w:val="000000"/>
          <w:sz w:val="20"/>
          <w:shd w:fill="FFFFFF" w:val="clear"/>
        </w:rPr>
        <w:t xml:space="preserve">aggregated cumulative non-cash interest expense and cumulative catch-up adjustment amounted to $1.5 million and the revenue share payments amounted to $0.5 million. </w:t>
      </w:r>
      <w:r>
        <w:rPr>
          <w:rFonts w:ascii="Times New Roman;serif" w:hAnsi="Times New Roman;serif"/>
          <w:b w:val="false"/>
          <w:color w:val="000000"/>
          <w:sz w:val="20"/>
        </w:rPr>
        <w:t xml:space="preserve">As of December 31, 2024, the carrying amount of the Blackstone Collaboration Agreement Liability was $211.6 million which included aggregated cumulative non-cash interest expense (including cumulative catch-up adjustments), of $10.7 million. </w:t>
      </w:r>
      <w:r>
        <w:rPr>
          <w:rFonts w:ascii="Times New Roman;serif" w:hAnsi="Times New Roman;serif"/>
          <w:b w:val="false"/>
          <w:color w:val="000000"/>
          <w:sz w:val="20"/>
          <w:shd w:fill="FFFFFF" w:val="clear"/>
        </w:rPr>
        <w:t xml:space="preserve">Refer to Note 15, </w:t>
      </w:r>
      <w:r>
        <w:rPr>
          <w:color w:val="000000"/>
        </w:rPr>
        <w:t>“</w:t>
      </w:r>
      <w:r>
        <w:rPr>
          <w:rFonts w:ascii="Times New Roman;serif" w:hAnsi="Times New Roman;serif"/>
          <w:b w:val="false"/>
          <w:color w:val="000000"/>
          <w:sz w:val="20"/>
          <w:shd w:fill="FFFFFF" w:val="clear"/>
        </w:rPr>
        <w:t>Liabilities related to future royalties and milestones, net</w:t>
      </w:r>
      <w:r>
        <w:rPr>
          <w:color w:val="000000"/>
        </w:rPr>
        <w:t>”</w:t>
      </w:r>
      <w:r>
        <w:rPr>
          <w:color w:val="000000"/>
          <w:shd w:fill="FFFFFF" w:val="clear"/>
        </w:rPr>
        <w:t xml:space="preserve"> </w:t>
      </w:r>
      <w:r>
        <w:rPr>
          <w:rFonts w:ascii="Times New Roman;serif" w:hAnsi="Times New Roman;serif"/>
          <w:b w:val="false"/>
          <w:color w:val="000000"/>
          <w:sz w:val="20"/>
          <w:shd w:fill="FFFFFF" w:val="clear"/>
        </w:rPr>
        <w:t>for further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BioNTech Agreements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In February 2024, the Company concurrently entered into the BioNTech Agreements. Upon the execution of the BioNTech Agreements, BioNTech became a related party of the Company. BioNTech owns more than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rPr>
        <w:t xml:space="preserve">of the </w:t>
      </w:r>
      <w:r>
        <w:rPr>
          <w:rFonts w:ascii="Times New Roman;serif" w:hAnsi="Times New Roman;serif"/>
          <w:b w:val="false"/>
          <w:color w:val="000000"/>
          <w:sz w:val="20"/>
          <w:shd w:fill="FFFFFF" w:val="clear"/>
        </w:rPr>
        <w:t>Company’s</w:t>
      </w:r>
      <w:r>
        <w:rPr>
          <w:color w:val="000000"/>
        </w:rPr>
        <w:t xml:space="preserve"> </w:t>
      </w:r>
      <w:r>
        <w:rPr>
          <w:rFonts w:ascii="Times New Roman;serif" w:hAnsi="Times New Roman;serif"/>
          <w:b w:val="false"/>
          <w:color w:val="000000"/>
          <w:sz w:val="20"/>
        </w:rPr>
        <w:t xml:space="preserve">outstanding voting securities and is therefore one of the principal owners of the Company. In addition, BioNTech has the right to nominate one director to the board of directors of the Company, which BioNTech has not yet exercised.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As of June 30, 2025, the carrying amount of the BioNTech Liability was $38.0 million. </w:t>
      </w:r>
      <w:r>
        <w:rPr>
          <w:rFonts w:ascii="Times New Roman;serif" w:hAnsi="Times New Roman;serif"/>
          <w:b w:val="false"/>
          <w:color w:val="000000"/>
          <w:sz w:val="20"/>
          <w:shd w:fill="FFFFFF" w:val="clear"/>
        </w:rPr>
        <w:t xml:space="preserve">For the six months ended </w:t>
      </w:r>
      <w:r>
        <w:rPr>
          <w:rFonts w:ascii="Times New Roman;serif" w:hAnsi="Times New Roman;serif"/>
          <w:b w:val="false"/>
          <w:color w:val="000000"/>
          <w:sz w:val="20"/>
        </w:rPr>
        <w:t>June 30, 2025, the</w:t>
      </w:r>
      <w:r>
        <w:rPr>
          <w:color w:val="000000"/>
          <w:shd w:fill="FFFFFF" w:val="clear"/>
        </w:rPr>
        <w:t xml:space="preserve"> </w:t>
      </w:r>
      <w:r>
        <w:rPr>
          <w:rFonts w:ascii="Times New Roman;serif" w:hAnsi="Times New Roman;serif"/>
          <w:b w:val="false"/>
          <w:color w:val="000000"/>
          <w:sz w:val="20"/>
          <w:shd w:fill="FFFFFF" w:val="clear"/>
        </w:rPr>
        <w:t>aggregated</w:t>
      </w:r>
      <w:r>
        <w:rPr>
          <w:color w:val="000000"/>
        </w:rPr>
        <w:t xml:space="preserve"> </w:t>
      </w:r>
      <w:r>
        <w:rPr>
          <w:rFonts w:ascii="Times New Roman;serif" w:hAnsi="Times New Roman;serif"/>
          <w:b w:val="false"/>
          <w:color w:val="000000"/>
          <w:sz w:val="20"/>
        </w:rPr>
        <w:t xml:space="preserve">cumulative interest expense and cumulative catch-up adjustment amounted to $1.8 million </w:t>
      </w:r>
      <w:r>
        <w:rPr>
          <w:rFonts w:ascii="Times New Roman;serif" w:hAnsi="Times New Roman;serif"/>
          <w:b w:val="false"/>
          <w:color w:val="000000"/>
          <w:sz w:val="20"/>
          <w:shd w:fill="FFFFFF" w:val="clear"/>
        </w:rPr>
        <w:t>and the revenue share payments amounted to $0.3 million</w:t>
      </w:r>
      <w:r>
        <w:rPr>
          <w:rFonts w:ascii="Times New Roman;serif" w:hAnsi="Times New Roman;serif"/>
          <w:b w:val="false"/>
          <w:color w:val="000000"/>
          <w:sz w:val="20"/>
        </w:rPr>
        <w:t xml:space="preserve">. As of December 31, 2024, the carrying amount of the BioNTech Liability was $36.5 million which included aggregated cumulative non-cash interest expense (including cumulative catch-up adjustments), of $1.8 million. Refer to Note 15, “Liabilities related to future royalties and milestones, net”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20. Subsequent Events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Company evaluated subsequent events through August 12, 2025, the date on which these unaudited condensed consolidated financial statements were is</w:t>
      </w:r>
      <w:r>
        <w:rPr>
          <w:rFonts w:ascii="Times New Roman;serif" w:hAnsi="Times New Roman;serif"/>
          <w:b w:val="false"/>
          <w:color w:val="000000"/>
          <w:sz w:val="20"/>
          <w:shd w:fill="FFFFFF" w:val="clear"/>
        </w:rPr>
        <w:t xml:space="preserve">sued.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In July 2025, the European Commission granted marketing authorization for AUCATZYL in adult patients (age 26 and older) with r/r B-ALL. Evaluation of potential pricing and feasibility of market entry opportunities in certain EU countries is ongoing. At this time, EU commercial launch is on hold in Germany and the Company does not anticipate any EU sales in 2025 and 2026. Refer to Note 17, “</w:t>
      </w:r>
      <w:r>
        <w:rPr>
          <w:rFonts w:ascii="Times New Roman;serif" w:hAnsi="Times New Roman;serif"/>
          <w:b w:val="false"/>
          <w:color w:val="000000"/>
          <w:sz w:val="20"/>
          <w:shd w:fill="FFFFFF" w:val="clear"/>
        </w:rPr>
        <w:t>Commitments and contingencies</w:t>
      </w:r>
      <w:r>
        <w:rPr>
          <w:color w:val="000000"/>
        </w:rPr>
        <w:t>”</w:t>
      </w:r>
      <w:r>
        <w:rPr>
          <w:color w:val="000000"/>
          <w:shd w:fill="FFFFFF" w:val="clear"/>
        </w:rPr>
        <w:t xml:space="preserve"> </w:t>
      </w:r>
      <w:r>
        <w:rPr>
          <w:rFonts w:ascii="Times New Roman;serif" w:hAnsi="Times New Roman;serif"/>
          <w:b w:val="false"/>
          <w:color w:val="000000"/>
          <w:sz w:val="20"/>
          <w:shd w:fill="FFFFFF" w:val="clear"/>
        </w:rPr>
        <w:t>for further details.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In August 2025, BioNTech's option to enter into the MCSA was not exercised and expired. </w:t>
      </w:r>
      <w:r>
        <w:rPr>
          <w:rFonts w:ascii="Times New Roman;serif" w:hAnsi="Times New Roman;serif"/>
          <w:b w:val="false"/>
          <w:color w:val="000000"/>
          <w:sz w:val="20"/>
          <w:shd w:fill="FFFFFF" w:val="clear"/>
        </w:rPr>
        <w:t xml:space="preserve">Refer to Note 15, </w:t>
      </w:r>
      <w:r>
        <w:rPr>
          <w:color w:val="000000"/>
        </w:rPr>
        <w:t>“</w:t>
      </w:r>
      <w:r>
        <w:rPr>
          <w:rFonts w:ascii="Times New Roman;serif" w:hAnsi="Times New Roman;serif"/>
          <w:b w:val="false"/>
          <w:color w:val="000000"/>
          <w:sz w:val="20"/>
          <w:shd w:fill="FFFFFF" w:val="clear"/>
        </w:rPr>
        <w:t>Liabilities related to future royalties and milestones, net</w:t>
      </w:r>
      <w:r>
        <w:rPr>
          <w:color w:val="000000"/>
        </w:rPr>
        <w:t>”</w:t>
      </w:r>
      <w:r>
        <w:rPr>
          <w:color w:val="000000"/>
          <w:shd w:fill="FFFFFF" w:val="clear"/>
        </w:rPr>
        <w:t xml:space="preserve"> </w:t>
      </w:r>
      <w:r>
        <w:rPr>
          <w:rFonts w:ascii="Times New Roman;serif" w:hAnsi="Times New Roman;serif"/>
          <w:b w:val="false"/>
          <w:color w:val="000000"/>
          <w:sz w:val="20"/>
          <w:shd w:fill="FFFFFF" w:val="clear"/>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together with the unaudited condensed consolidated interim financial statements and the related notes to those statements included in this Quarterly Report on Form 10-Q. We also recommend that you read our discussion and analysis of financial condition and results of operations together with our audited financial statements and the notes thereto, which appear in our Annual Report on the Form 10-K for the year ended December 31, 2024 as filed with the Securities and Exchange Commission, or the SEC on March 20, 2025, or the Annual Report. </w:t>
      </w:r>
    </w:p>
    <w:p>
      <w:pPr>
        <w:pStyle w:val="TextBody"/>
        <w:bidi w:val="0"/>
        <w:spacing w:lineRule="auto" w:line="288" w:before="120" w:after="283"/>
        <w:jc w:val="both"/>
        <w:rPr/>
      </w:pPr>
      <w:r>
        <w:rPr>
          <w:rFonts w:ascii="Times New Roman;serif" w:hAnsi="Times New Roman;serif"/>
          <w:b w:val="false"/>
          <w:i/>
          <w:color w:val="000000"/>
          <w:sz w:val="20"/>
        </w:rPr>
        <w:t>We maintain our books and records in pounds sterling, our results are subsequently converted to U.S. dollars, and we prepare our consolidated financial statements in accordance with U.S. GAAP, as issued by the FASB. All references in this Quarterly Report on Form 10-Q to “$” are to U.S. dollars and all references to “£” are to pounds sterling. Our unaudited condensed consolidated statements of operations and comprehensive loss and unaudited condensed consolidated statements of cash flows for the three months ended June 30, 2025 and 2024 have been translated from pounds sterling into U.S. dollars at the rate of £1.00 to $1.3355 and £1.00 to $1.2616,</w:t>
      </w:r>
      <w:r>
        <w:rPr>
          <w:color w:val="000000"/>
        </w:rPr>
        <w:t xml:space="preserve"> </w:t>
      </w:r>
      <w:r>
        <w:rPr>
          <w:rFonts w:ascii="Times New Roman;serif" w:hAnsi="Times New Roman;serif"/>
          <w:b w:val="false"/>
          <w:i/>
          <w:color w:val="000000"/>
          <w:sz w:val="20"/>
        </w:rPr>
        <w:t>respectively. Our unaudited condensed consolidated statements of operations and comprehensive loss and cash flows for the six months ended June 30, 2025 and 2024 have been translated from pounds sterling into U.S. dollars at the rate of £1.00 to $1.2971 and £1.00 to $1.2648, respectively. Our unaudited condensed consolidated balance sheet as of June 30, 2025 and audited consolidated balance sheet as of December 31, 2024 have been translated from pounds sterling into U.S. dollars at the rate of £1.00 to $1.3713 and £1.00 to $1.2535, respectively. These translations should not be considered representations that any such amounts have been, could have been or could be converted into U.S. dollars at those or any other exchange rate as of those or any other dates.</w:t>
      </w:r>
    </w:p>
    <w:p>
      <w:pPr>
        <w:pStyle w:val="TextBody"/>
        <w:bidi w:val="0"/>
        <w:spacing w:lineRule="auto" w:line="288" w:before="120" w:after="100"/>
        <w:jc w:val="both"/>
        <w:rPr>
          <w:rFonts w:ascii="Times New Roman;serif" w:hAnsi="Times New Roman;serif"/>
          <w:b w:val="false"/>
          <w:i/>
          <w:color w:val="000000"/>
          <w:sz w:val="20"/>
        </w:rPr>
      </w:pPr>
      <w:r>
        <w:rPr>
          <w:rFonts w:ascii="Times New Roman;serif" w:hAnsi="Times New Roman;serif"/>
          <w:b w:val="false"/>
          <w:i/>
          <w:color w:val="000000"/>
          <w:sz w:val="20"/>
        </w:rPr>
        <w:t>The statements in this discussion and analysis of our financial condition and results of operations regarding our expectations regarding our future performance, liquidity and capital resources and other non-historical statements are forward-looking statements.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These risks and uncertainties include, but are not limited to, the risks and uncertainties set forth in the “Risk Factors” section of our Annual Report, this Quarterly Report and any subsequent reports that we file with the SEC.</w:t>
      </w:r>
    </w:p>
    <w:p>
      <w:pPr>
        <w:pStyle w:val="TextBody"/>
        <w:bidi w:val="0"/>
        <w:spacing w:lineRule="auto" w:line="288" w:before="120" w:after="283"/>
        <w:jc w:val="both"/>
        <w:rPr/>
      </w:pPr>
      <w:r>
        <w:rPr>
          <w:rFonts w:ascii="Times New Roman;serif" w:hAnsi="Times New Roman;serif"/>
          <w:b w:val="false"/>
          <w:i/>
          <w:color w:val="000000"/>
          <w:sz w:val="20"/>
        </w:rPr>
        <w:t xml:space="preserve">Autolus, AUCATZYL and our other trademarks or service marks appearing in this report are our property. Solely for convenience, the trademarks and trade names in this report are referred to without the </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xml:space="preserve">and </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symbols, but such references should not be construed as any indicator that their respective owners will not assert, to the fullest extent under applicable law, their rights thereto. Products or service names of other companies mentioned in this report may be trademarks, trade names or service marks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are an early commercial-stage biopharmaceutical company developing next-generation programmed T cell therapies for the treatment of cancer and autoimmune diseases. Using our broad suite of proprietary and modular T cell programming technologies, we are engineering precisely targeted, controlled and highly active T cell therapies that are designed to better recognize target cells, break down their defense mechanisms and attack and kill these cells. We believe our programmed T cell therapies have the potential to be best-in-class and to offer patients substantial benefits over the existing standard of care, including the potential for cure in some patients.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For the three months ended June 30, 2025 and 2024, we incurred net losses of $47.9 million and $58.3 million, respectively, and had an accumulated deficit of $1,217.3 million and $1,099.2 million as of June 30, 2025 and December 31, 2024, respectively.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2025, we had cash and cash equivalents of $123.8 million and marketable securities of $330.5 million. Based on our current clinical development and commercialization plans, we believe our existing cash, cash equivalents and marketable securities will be sufficient to fund our current and planned operating expenses and capital expenditure requirements through at least the next twelve months from the date of issuance of our unaudited condensed consolidated financial statements included in this Quarterly Report. This forecast of cash resources is forward-looking information that involves risks and uncertainties, and the actual amount of our revenues and expenses, which we have based on assumptions that may prove to be wrong and could prove to be significantly higher than we currently anticipate, could vary materially and adversely as a result of a number of factors. Management does not know whether additional financing will be on terms favorable or acceptable to us when needed, if at all. If adequate additional funds are not available when required, or if we are unsuccessful in entering into partnership agreements for further development of our product candidates, management may need to curtail its development efforts and planned operations.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AUCATZYL launch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reported Q2 2025 net product sales of $20.9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We have 46 cancer treatment centers fully activated in the United States as of August 12, 2025. Patient access to AUCATZYL continues to increase, with coverage secured for greater than 90% of total United States medical lives.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On April 25, 2025, the UK Medicines and Healthcare products Regulatory Agency (“MHRA”) granted conditional marketing authorization for AUCATZYL for the treatment of adult patients age 18+ with relapsed or refractory B-cell precursor acute lymphoblastic leukemia (“r/r B-ALL”). Following an initial review and in line with prior practice for CAR-T therapies, the National Institute for Health and Care Excellence (“NICE”) issued a preliminary Appraisal Consultation Decision (“ACD”) recommending against funding for AUCATZYL. We plan to respond to NICE’s questions and will continue to work towards a pathway for patient access to therapy in the United Kingdom.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On July 17, 2025, the European Commission (“EC”) granted marketing authorization for AUCATZYL in adult patients (age 26 and older) with r/r B-ALL. Evaluation of potential pricing and feasibility of market entry opportunities in certain EU countries is ongoing; however, at this time, launch in Germany is on hold and we do not anticipate any EU sales of AUCATZYL in 2025 and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Obe-cel clinical updates:</w:t>
      </w:r>
    </w:p>
    <w:p>
      <w:pPr>
        <w:pStyle w:val="TextBody"/>
        <w:bidi w:val="0"/>
        <w:spacing w:lineRule="auto" w:line="276"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Obe-cel data in r/r B-ALL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presented updated long-term data from the FELIX study in adult patients with r/r B-ALL in an oral presentation at the 2025 European Hematology Association (“EHA”) Congress in June. For patients with a response, the updated median duration of response is now 42.5 months. At the updated median follow up of 32.8 months, 38.4% of responders were in ongoing remission without consolidative stem cell therapy or other therapies (versus the previously reported 40% at a median follow-up of 21.5 months). The 24-month probability of Event Free Survival was 43%, and the Overall Survival was 46%, with a further consolidating long-term plateau observed. No new safety signals or Grade ≥3 secondary malignancies were observed at the extended follow-up. These results suggest that obe-cel may be a durable treatment option for some patients with r/r B-ALL. </w:t>
      </w:r>
    </w:p>
    <w:p>
      <w:pPr>
        <w:pStyle w:val="TextBody"/>
        <w:bidi w:val="0"/>
        <w:spacing w:lineRule="auto" w:line="276" w:before="120" w:after="283"/>
        <w:jc w:val="both"/>
        <w:rPr/>
      </w:pPr>
      <w:r>
        <w:rPr>
          <w:rFonts w:ascii="Times New Roman;serif" w:hAnsi="Times New Roman;serif"/>
          <w:b w:val="false"/>
          <w:i/>
          <w:color w:val="000000"/>
          <w:sz w:val="20"/>
        </w:rPr>
        <w:t>Obe-cel in lupus nephritis (</w:t>
      </w:r>
      <w:r>
        <w:rPr>
          <w:color w:val="000000"/>
        </w:rPr>
        <w:t>“</w:t>
      </w:r>
      <w:r>
        <w:rPr>
          <w:rFonts w:ascii="Times New Roman;serif" w:hAnsi="Times New Roman;serif"/>
          <w:b w:val="false"/>
          <w:i/>
          <w:color w:val="000000"/>
          <w:sz w:val="20"/>
        </w:rPr>
        <w:t>LN</w:t>
      </w:r>
      <w:r>
        <w:rPr>
          <w:color w:val="000000"/>
        </w:rPr>
        <w:t>”</w:t>
      </w:r>
      <w:r>
        <w:rPr>
          <w:rFonts w:ascii="Times New Roman;serif" w:hAnsi="Times New Roman;serif"/>
          <w:b w:val="false"/>
          <w:i/>
          <w:color w:val="000000"/>
          <w:sz w:val="20"/>
        </w:rPr>
        <w:t>)</w:t>
      </w:r>
      <w:r>
        <w:rPr>
          <w:color w:val="000000"/>
          <w:shd w:fill="FFFFFF" w:val="clear"/>
        </w:rPr>
        <w:t xml:space="preserv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Preliminary data from the Phase 1 dose confirmation clinical trial (“CARLYSLE”) in refractory systemic lupus erythematosus (“SLE”) patients were reported on April 23, 2025, and support progressing into a planned Phase 2 pivotal study.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Company has aligned with the U.S. Food and Drug Administration (the “FDA”) on the Phase 2 trial design and potential registrational path to approval and continues to anticipate dosing the first patient in a Phase 2 clinical trial before the end of 2025.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Data with longer term follow-up from the Phase 1 CARLYSLE clinical trial is targeted for presentation at a medical conference in the second half of 2025.</w:t>
      </w:r>
    </w:p>
    <w:p>
      <w:pPr>
        <w:pStyle w:val="TextBody"/>
        <w:bidi w:val="0"/>
        <w:spacing w:lineRule="auto" w:line="276" w:before="120" w:after="283"/>
        <w:jc w:val="both"/>
        <w:rPr/>
      </w:pPr>
      <w:r>
        <w:rPr>
          <w:rFonts w:ascii="Times New Roman;serif" w:hAnsi="Times New Roman;serif"/>
          <w:b w:val="false"/>
          <w:i/>
          <w:color w:val="000000"/>
          <w:sz w:val="20"/>
        </w:rPr>
        <w:t>Obe-cel in progressive multiple sclerosis (</w:t>
      </w:r>
      <w:r>
        <w:rPr>
          <w:color w:val="000000"/>
        </w:rPr>
        <w:t>“</w:t>
      </w:r>
      <w:r>
        <w:rPr>
          <w:rFonts w:ascii="Times New Roman;serif" w:hAnsi="Times New Roman;serif"/>
          <w:b w:val="false"/>
          <w:i/>
          <w:color w:val="000000"/>
          <w:sz w:val="20"/>
        </w:rPr>
        <w:t>MS</w:t>
      </w:r>
      <w:r>
        <w:rPr>
          <w:color w:val="000000"/>
        </w:rPr>
        <w:t>”</w:t>
      </w:r>
      <w:r>
        <w:rPr>
          <w:rFonts w:ascii="Times New Roman;serif" w:hAnsi="Times New Roman;serif"/>
          <w:b w:val="false"/>
          <w:color w:val="000000"/>
          <w:sz w:val="20"/>
        </w:rPr>
        <w: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plan to advance obe-cel into clinical development in progressive MS. We continue to expect to dose our first patient in a Phase 1 dose escalation clinical trial by year-end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Early-stage pipeline programs and collaborations: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translational programs with University College London (“UCL”) continue to fuel our early-stage pipeline, providing a cost-efficient path to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76" w:before="120" w:after="283"/>
        <w:ind w:left="0" w:right="0" w:firstLine="720"/>
        <w:jc w:val="both"/>
        <w:rPr/>
      </w:pPr>
      <w:r>
        <w:rPr>
          <w:rFonts w:ascii="Times New Roman;serif" w:hAnsi="Times New Roman;serif"/>
          <w:b w:val="false"/>
          <w:color w:val="000000"/>
          <w:sz w:val="20"/>
        </w:rPr>
        <w:t xml:space="preserve">We account for our revenues pursuant to the provisions of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We have identified a single performance obligation which is satisfied upon delivery of the product to the authorized treatment centers. However, the performance obligation is constrained by the right of return/credit eligibility. We recognize revenue from product sales upon administration to the patient, when the customers’ ability to either cancel the order or request a refund has ceased. Revenue from product sales that are invoiced and constrained is recorded as deferred revenue on the balance sheet.</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2025, the Centers for Medicare and Medicaid Services (“CMS”) included AUCATZYL in their published Healthcare Common Procedure Coding System (“HCPCS”) coding determinations and Hospital Outpatient Prospective Payment System (“OPPS”) payment rates, formalizing reimbursement for patients on government programs. The CMS policy splits the therapeutic dose of AUCATZYL into two administrations for coding and billing purposes. As a result, effective from the second quarter of 2025, we recognize 50% of revenue upon administration of the first dose and the remaining 50% of revenue upon administration of the second dose, when the customers’ ability to either cancel the order or request a refund has ceased for each respective dose. </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revenue, net of gross-to-net deductions, are recognized only to the extent that a significant reversal in the amount of cumulative revenue recognized is not probable of occurring when the uncertainty associated with gross-to- net deductions is subsequently resolved. Product revenues are recognized net of estimated rebates and chargebacks, patient travel assistance and patient co-pay assistance deductions. These deductions to product revenue are referred to as gross-to-net deductions and are estimated and recorded in the period in which the related product revenue occur.</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Gross-to-net deductions</w:t>
      </w:r>
    </w:p>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Rebates and chargebacks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Rebates and chargebacks are based on contractual arrangements or statutory requirements and include amounts due to payors and healthcare providers under various programs. These amounts may vary by payor and individual plans. Providers qualified under certain programs can purchase our products through our third-party logistics partner at a discount. Our third party logistics partner then charges the discount back to us.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Rebates and chargebacks are estimated primarily based on product sales, including pricing, historical and estimated payor mix, setting of care and discount rates, among other inputs, which require significant estimates and judgment. We assess and updates our estimates each reporting period to reflect actual claims and other current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wholly-owned subsidiary in the United States also participates in programs with government entities, the most significant of which are the US. Department of Defense (the “DoD”) and the US. Department of Veterans Affairs (the “VA”), and other parties, including covered entities under the 340B Drug Pricing Program (the “340B Program”), whereby pricing on products is extended below list price to participating entities. These entities are entitled to purchase AUCATZYL at the lower program price by charging the Company the difference between their acquisition cost and the lower program price. Accounts receivable is reduced for the estimated amount of unprocessed charge-back claims attributable to a sale.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wholly-owned subsidiary in the United States further participates in state government Medicaid programs and the Tricare program requiring discounts and rebates to participating government entities. All rebates provided through these programs are included in our Medicaid and Tricare rebate accrual. The estimated amount of unpaid or unbilled rebates are to be recognized and presented as a liability.</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Patient Travel, Lodging and Meal Assistance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Travel, lodging, and meal assistance represents financial assistance to qualified patients and their caregiver, reimbursing them for certain travel, lodging, and meal expenses required during their treatment. We expense the actual expenses made during the period and accrue the estimated unreported or unrecorded expenses at period end.</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Patient Co-Pay Assistance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Co-pay assistance represents financial assistance to qualified patients, assisting them with cost sharing obligations for our product based on benefit design structure required by insurance. Our accrual for copay is based on an estimate of claims and the cost per claim that we expect to receive associated with qualified patients that exist at each reporting period.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License Revenue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We account for our revenue pursuant to the provisions of ASC 606</w:t>
      </w:r>
      <w:r>
        <w:rPr>
          <w:rFonts w:ascii="Times New Roman;serif" w:hAnsi="Times New Roman;serif"/>
          <w:b w:val="false"/>
          <w:i/>
          <w:color w:val="000000"/>
          <w:sz w:val="20"/>
        </w:rPr>
        <w:t xml:space="preserve">. </w:t>
      </w:r>
      <w:r>
        <w:rPr>
          <w:rFonts w:ascii="Times New Roman;serif" w:hAnsi="Times New Roman;serif"/>
          <w:b w:val="false"/>
          <w:color w:val="000000"/>
          <w:sz w:val="20"/>
        </w:rPr>
        <w:t>As of June 30, 2025, we have entered into various license agreements which included non-refundable upfront license fees, options for future commercial licenses, payments based upon achievement of clinical development and regulatory objectives, payments based upon achievement of certain levels of product sales, and royalties on licensed product sales</w:t>
      </w:r>
      <w:r>
        <w:rPr>
          <w:rFonts w:ascii="Times New Roman;serif" w:hAnsi="Times New Roman;serif"/>
          <w:b w:val="false"/>
          <w:color w:val="000000"/>
          <w:sz w:val="20"/>
          <w:shd w:fill="FFFFFF" w:val="clear"/>
        </w:rPr>
        <w:t xml:space="preserv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determining the appropriate amount of revenue to be recognized in relation to each license agreement, we perform the following steps: (i) identify the promised goods or services in the contract; (ii) determine whether the promised goods or services are performance obligations, including whether they are distinct in the context of the contract; (iii) measure of the transaction price, including the constraint on variable consideration; (iv) allocate the transaction price to the performance obligations based on estimated selling prices; and (v) recognize of revenue when (or as) we satisfy each performance obligation.</w:t>
      </w:r>
    </w:p>
    <w:p>
      <w:pPr>
        <w:pStyle w:val="TextBody"/>
        <w:bidi w:val="0"/>
        <w:spacing w:before="24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License Fees and Multiple Element Arrangements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license to our intellectual property is determined to be distinct from the other performance obligations identified in the arrangement, we recognize revenues from non-refundable, upfront fees allocated to the license at such time as the license is transferred to the licensee and the licensee is able to use, and benefit from the license. For licenses that are bundled with other promises, we utilize judgment to assess the nature of the combined performance obligations to determine whether the combined performance obligations are satisfied over time or at a point in time and, if over time, the appropriate method of measuring progress for purposes of recognizing revenue from non-refundable, upfront fees. We evaluate the measure of progress at each reporting period and, if necessary, adjust the measure of performance and related revenue recognition.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Appropriate methods of measuring progress include output methods and input methods. In determining the appropriate method for measuring progress, we consider the nature of service that we promise to transfer to the customer. When we decide on a method of measurement, we will apply that single method of measuring progress for each performance obligation satisfied over time and will apply that method consistently to similar performance obligations and in similar circumstances.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Customer Options</w:t>
      </w:r>
      <w:r>
        <w:rPr>
          <w:color w:val="000000"/>
        </w:rPr>
        <w:t xml:space="preserv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arrangement is determined to contain customer options that allow the customer to acquire additional goods or services, the goods and services underlying the customer options that are not determined to be material rights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any identified discount and the probability that the customer will exercise the option. Amounts allocated to a material right are not recognized as revenue until, at the earliest, the option is exercised.</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Contingent Research Milestone Payments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ASC 606 constrains the amount of variable consideration included in the transaction price in that either all, or a portion, of an amount of variable consideration should be included in the transaction price. The variable consideration amount should be included only to the extent that it is probable that a significant reversal in the amount of cumulative revenue recognized will not occur when the uncertainty associated with the variable consideration is subsequently resolved. The assessment of whether variable consideration should be constrained is largely a qualitative one that has two elements: the likelihood of a change in estimate, and the magnitude thereof. Variable consideration is not constrained if the potential reversal of cumulative revenue recognized is not significant, for example.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consideration in a contract includes a variable amount, we will estimate the amount of consideration in exchange for transfer of promised goods or services. The consideration also can vary if our entitlement to the consideration is contingent on the occurrence or non-occurrence of a future event. We consider contingent research milestone payments to fall under the scope of variable consideration, which should be estimated for revenue recognition purposes at the inception of the contract and reassessed ongoing at the end of each reporting period.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assess whether contingent research milestones should be considered variable consideration that should be constrained and thus not part of the transaction price. This includes an assessment of the probability that all or some of the milestone revenue could be reversed when the uncertainty around whether or not the achievement of each milestone is resolved, and the amount of reversal could be significant.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GAAP provides factors to consider when assessing whether variable consideration should be constrained. All of the factors should be considered, and no factor is determinative. We consider all relevant factors.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Royalty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Sales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represents production costs including raw materials, employee-related expenses, including salaries, related benefits, travel and share-based compensation expense for employees engaged in commercial manufacturing functions, external manufacturing costs including outsourced professional expenses services, allocated facilities costs, depreciation and other expenses, royalties payable to third-parties and other costs incurred in bringing inventories to their location and condition prior to sale. Cost of sales also includes the cost of all commercial product delivered to authorized treatment centers, including product delivered but not yet recognized as revenue, which is captured as deferred revenue, any cancelled orders, and product related to the patient access program. Cost of sales may also include costs related to excess or obsolete inventory adjustment charges and amortization expense of intangible assets.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for a newly launched product does not include the full cost of manufacturing until the initial pre-launch raw materials inventory is depleted. Thus, the cost of sales as a percentage of net sales of AUCATZYL for the three and six months ended June 30, 2025 was affected by use of the initial pre-launch raw materials inventory, which was previously expensed as research and development expense, and is referred to as zero cost inventories. We estimate our cost of sales as a percentage of net product revenue and will continue to be positively impacted as we sell product which includes some raw material inventory that was previously expensed prior to the FDA approval.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net (“R&amp;D”) consist of costs incurred in connection with the research and development of our product candidates, which are partially offset by research and development tax credits, including tax credits arising from the U.K. small and medium enterprise (“SME”) regime and research and development expenditure credit (“RDEC”) regime provided by His Majesty's Revenue and Customs (“HMRC”). We expense research and development costs as incurred. These expenses include:</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expenses incurred under agreements with CROs, as well as investigative sites and consultants that conduct our clinical trials, preclinical studies and other scientific development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manufacturing scale-up expenses and the cost of acquiring and manufacturing preclinical and clinical trial materials;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employee-related expenses, including salaries, related benefits, travel and share-based compensation expense for employees engaged in research and development functions;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expenses incurred for outsourced professional scientific development services;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costs for laboratory materials and supplies used to support our research activities;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allocated facilities costs, depreciation and other expenses, which include rent and utilities;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upfront, milestone and management fees for maintaining licenses under our third-party licensing agreements.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recognize external development costs based on an evaluation of the progress to completion of specific tasks using information provided to us by our service providers.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direct research and development expenses are tracked on a program-by-program basis for our product candidates and consist primarily of external costs, such as fees paid to outside consultants and CROs in connection with our preclinical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research and development as well as for managing our preclinical development, process development, manufacturing and clinical development activities.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few years as we increase personnel costs, initiate and conduct additional clinical trials and prepare regulatory filings related to our product candidates. We also expect to incur additional expenses related to milestone, royalty payments and maintenance fees payable to third parties with whom we have entered into license agreements to acquire the rights related to our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consultation, we have been advised by HMRC that any sale of our obe-cel CAR T therapy to United Kingdom customers in the future will be considered an exempt supply from a United Kingdom VAT perspective. Consequently, we have assessed and restricted the amount of United Kingdom VAT we have historically reclaimed and will continue to do so in the future. The restriction will be based on the estimated United Kingdom market turnover as a percentage of global turnover. We currently expect revenue from United Kingdom customers to only represent a small proportion of our overall activity. If the proportion of revenue from United Kingdom customers increases this would further restrict the amount of United Kingdom input VAT recovered. Included in research and development expenses is historical irrecoverable input VAT previously claimed on research and development expenses and subsequently reversed.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successful development and commercialization of our product candidates is highly uncertain. At this time, we cannot reasonably estimate or know the nature, timing and costs of the efforts that will be necessary to complete the clinical development of any of our product candidates or when, if ever, material net cash inflows may commence from sales of any of our product candidates. This uncertainty is due to the numerous risks and uncertainties associated with development and commercialization activities, including the uncertainty of:</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the scope, progress, outcome and costs of our clinical trials and other research and development activities, including establishing an appropriate safety profile with IND-directed studies;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successful patient enrollment in, and the initiation and completion of, clinical trials;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receipt and terms of any marketing approvals from applicable regulatory authorities;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establishing commercial manufacturing capabilities or making arrangements with third-party manufacturers;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development and timely delivery of commercial-grade drug formulations that can be used in our clinical trials and for commercial manufacturing;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obtaining, maintaining, defending and enforcing patent claims and other intellectual property rights;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significant and changing government regulation;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launching commercial sales of our product candidates, if and when approved, whether alone or in collaboration with others;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maintaining a continued acceptable safety profile of the product candidates following approval;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significant competition and rapidly changing technologies within the biopharmaceutical industry. </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We may never succeed in achieving regulatory approval for any of our product candidates other than AUCATZYL. We may obtain unexpected results from our clinical trials. We may elect to discontinue, delay or modify clinical trials of some product candidates or focus on others. Any changes in the outcome of any of these variables with respect to the development of our product candidates in clinical development could mean a significant change in the costs and timing associated with the development of these product candidates. </w:t>
      </w:r>
      <w:r>
        <w:rPr>
          <w:rFonts w:ascii="Times New Roman;serif" w:hAnsi="Times New Roman;serif"/>
          <w:b w:val="false"/>
          <w:color w:val="000000"/>
          <w:sz w:val="20"/>
        </w:rPr>
        <w:t>For example, if the European Medicines Agency (“EMA”), the FDA,</w:t>
      </w:r>
      <w:r>
        <w:rPr>
          <w:color w:val="000000"/>
          <w:shd w:fill="FFFFFF" w:val="clear"/>
        </w:rPr>
        <w:t xml:space="preserve"> </w:t>
      </w:r>
      <w:r>
        <w:rPr>
          <w:rFonts w:ascii="Times New Roman;serif" w:hAnsi="Times New Roman;serif"/>
          <w:b w:val="false"/>
          <w:color w:val="000000"/>
          <w:sz w:val="20"/>
          <w:shd w:fill="FFFFFF" w:val="clear"/>
        </w:rPr>
        <w:t>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Commercialization of our product candidates will take several years and millions of dollars in development costs.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U.K. Research and Development Tax Credits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Research and development expenditure is presented net of reimbursements from reimbursable tax and expenditure credits from the United Kingdom government. As a company that carries out extensive research and development activities, we benefit from the Research and Development tax incentives provided by United Kingdom tax legislation.</w:t>
      </w:r>
      <w:r>
        <w:rPr>
          <w:color w:val="000000"/>
        </w:rPr>
        <w:t xml:space="preserve"> </w:t>
      </w:r>
      <w:r>
        <w:rPr>
          <w:rFonts w:ascii="Times New Roman;serif" w:hAnsi="Times New Roman;serif"/>
          <w:b w:val="false"/>
          <w:color w:val="000000"/>
          <w:sz w:val="20"/>
        </w:rPr>
        <w:t>The specific provisions available to claim under vary year on year dependent on the criteria met.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benefits from United Kingdom research and development tax credits are recognized in the statements of operations and comprehensive loss as a reduction of research and development expenses and represents the sum of the research and development tax credits recoverable in the United Kingdom.</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SME program has been particularly beneficial to us as under such program the trading losses that arise from our qualifying R&amp;D activities can be surrendered for a cash rebate of up to 33.35% of qualifying expenditure incurred prior to April 1, 2023 and decreasing to 18.6% after April 1, 2023. The United Kingdom government enacted changes to the SME regime effective from April 1, 2023 which included the introduction of a new rate for R&amp;D intensive companies of 27%. Qualifying expenditures largely comprise of employment costs for research staff, consumables, outsourced contract research organization costs and utilities costs incurred as part of research projects for which we do not receive income. A large proportion of costs relate to our pipeline research, clinical trials management and manufacturing development activities, all of which are being carried out by our subsidiary Autolus Limited, are eligible for inclusion within these tax credit cash rebate claims.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RDEC program, the headline rate for qualifying R&amp;D expenditure is 20% and can generate cash rebates of up to 15% on qualifying R&amp;D expenditure.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Amendments to the current SME and RDEC programs contained in the Finance Act 2024 (unless limited exceptions apply) introduce (i) restrictions on the tax relief that can be claimed for expenditure incurred on sub-contracted R&amp;D activities or externally provided workers, where such activities are not carried out in the United Kingdom or such workers are not subject to United Kingdom payroll taxes, and (ii) merge the SME and RDEC programs into a single scheme which would generate net cash benefit of up to 15% of the qualifying expenditure for profit making companies and up to 16.2% for loss making companies. These changes take effect from periods commencing after April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accounting period ending December 31, 2025, we will not qualify for relief under the SME program, based on size criteria concerning employee headcount, turnover and gross assets. However, we may make a claim under the merged RDEC regime, as detailed above.</w:t>
      </w:r>
    </w:p>
    <w:p>
      <w:pPr>
        <w:pStyle w:val="TextBody"/>
        <w:bidi w:val="0"/>
        <w:spacing w:lineRule="auto" w:line="26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Expenses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Selling, general and administrative expenses consist primarily of salaries, related benefits, travel and share-based compensation expense for personnel in executive, finance, legal and other administrative functions. Selling, general and administrative expenses also include allocated facility-related costs, patent filing and prosecution costs and professional fees for marketing, insurance, legal, consulting, accounting and audit services. </w:t>
      </w:r>
      <w:r>
        <w:rPr>
          <w:rFonts w:ascii="Times New Roman;serif" w:hAnsi="Times New Roman;serif"/>
          <w:b w:val="false"/>
          <w:color w:val="000000"/>
          <w:sz w:val="20"/>
        </w:rPr>
        <w:t>Included in selling, general and administrative expenses is historical irrecoverable input VAT previously claimed on selling, general and administrative expenses and subsequently reversed.</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We anticipate that our selling, general and administrative expenses will increase in the future as we increase our headcount to support the planned development of our product candidates. </w:t>
      </w:r>
      <w:r>
        <w:rPr>
          <w:rFonts w:ascii="Times New Roman;serif" w:hAnsi="Times New Roman;serif"/>
          <w:b w:val="false"/>
          <w:color w:val="000000"/>
          <w:sz w:val="20"/>
          <w:shd w:fill="FFFFFF" w:val="clear"/>
        </w:rPr>
        <w:t xml:space="preserve">We anticipate an increase in salaries and related benefits as a result of our preparation for commercial operations, especially as it relates to the sales and marketing of </w:t>
      </w:r>
      <w:r>
        <w:rPr>
          <w:rFonts w:ascii="Times New Roman;serif" w:hAnsi="Times New Roman;serif"/>
          <w:b w:val="false"/>
          <w:color w:val="000000"/>
          <w:sz w:val="20"/>
        </w:rPr>
        <w:t xml:space="preserve">AUCATZYL </w:t>
      </w:r>
      <w:r>
        <w:rPr>
          <w:rFonts w:ascii="Times New Roman;serif" w:hAnsi="Times New Roman;serif"/>
          <w:b w:val="false"/>
          <w:color w:val="000000"/>
          <w:sz w:val="20"/>
          <w:shd w:fill="FFFFFF" w:val="clear"/>
        </w:rPr>
        <w:t>and our other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experienced, and expect to continue to experience, increased expense with being a public company, including increased accounting, audit, legal, regulatory and compliance costs associated with maintaining compliance with Nasdaq listing rules and the SEC requirements, director and officer insurance premiums, as well as higher investor and public relations costs. Additionally, should we fail to maintain our status as a foreign private issuer, we would expect to incur increased expenses to remain compliant with the applicable SEC and Nasdaq requirements.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63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income, net consist primarily of sublease income and gains or losses arising from the termination of leases.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Gains (Losses), Net</w:t>
      </w:r>
    </w:p>
    <w:p>
      <w:pPr>
        <w:pStyle w:val="TextBody"/>
        <w:bidi w:val="0"/>
        <w:spacing w:lineRule="auto" w:line="288" w:before="120" w:after="283"/>
        <w:ind w:left="0" w:right="0" w:firstLine="63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Foreign exchange gains (losses), net primarily consist of foreign currency transaction gains and losses arising from transactions denominated in foreign currencies.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income primarily relates to interest on cash, cash equivalents and available-for-sale debt securities and is presented net of amortization or accretion of the premium or discount on purchase and sales of the debt securities.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Expense, Net</w:t>
      </w:r>
    </w:p>
    <w:p>
      <w:pPr>
        <w:pStyle w:val="TextBody"/>
        <w:bidi w:val="0"/>
        <w:spacing w:lineRule="auto" w:line="288" w:before="1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net consists primarily of interest expense arising from amortization of the liabilities related to future royalties and milestones, pursuant to our collaboration agreements with BXLS V - Autobahn L.P, (“Blackstone”) and BioNTech SE (“BioNTech”), using the effective interest rate method. On a quarterly basis, we assess the expected present value of the future Blackstone and BioNTech payments under the Blackstone Collaboration Agreement and BioNTech Agreements which may be received by us and future royalties and sales milestone payments to Blackstone and BioNTech which may be paid by us. To the extent the amount or timing of such receipts or payments is materially different than our previous estimates we record a cumulative catch-up adjustment to the liabilities related to future royalties and milestones. Adjustments to increase or decrease the carrying amount are recognized as an adjustment to interest expense, net in the period in which the change in estimate occurred.</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corporate taxation in the United Kingdom, United States, Germany and Switzerland. Due to the nature of our business, we have generated losses since inception. Our income tax (expense) benefit recognized represents the sum of income tax payable or receivable in the United Kingdom and in the United States. </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Un-surrendered United Kingdom losses may be carried forward indefinitely to be offset against future taxable profits, subject to numerous utilization criteria and restrictions. The amount that can be offset each year is limited to £5.0 million plus an incremental 50% of United Kingdom taxable profits. After accounting for tax credits receivable, we had accumulated tax losses for carry forward in the United Kingdom of $545.6 million at December 31, 2024. A valuation allowance has been recognized against our deferred tax asset relating to our United Kingdom losses. We carried a $2.4 million deferred tax asset balance related to the United States entity at June 30, 2025 for which a valuation allowance of $1.8 million was applied. At June 30, 2025, we recorded a full valuation allowance against the net deferred tax asset in the United Kingdom, as the recoverability due to future taxable profits was uncertain. </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we generate revenues in the future, we may benefit from the United Kingdom “patent box” regime that allows profits attributable to revenues from patents or patented products to be taxed at an effective rate of 10%.</w:t>
      </w:r>
    </w:p>
    <w:p>
      <w:pPr>
        <w:pStyle w:val="TextBody"/>
        <w:bidi w:val="0"/>
        <w:spacing w:before="10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Three Months Ended June 30, 2025 and 2024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2025, and 2024 (in thousands):</w:t>
      </w:r>
    </w:p>
    <w:tbl>
      <w:tblPr>
        <w:tblW w:w="10205" w:type="dxa"/>
        <w:jc w:val="left"/>
        <w:tblInd w:w="0" w:type="dxa"/>
        <w:tblLayout w:type="fixed"/>
        <w:tblCellMar>
          <w:top w:w="28" w:type="dxa"/>
          <w:left w:w="28" w:type="dxa"/>
          <w:bottom w:w="28" w:type="dxa"/>
          <w:right w:w="28" w:type="dxa"/>
        </w:tblCellMar>
      </w:tblPr>
      <w:tblGrid>
        <w:gridCol w:w="1738"/>
        <w:gridCol w:w="1359"/>
        <w:gridCol w:w="1363"/>
        <w:gridCol w:w="213"/>
        <w:gridCol w:w="780"/>
        <w:gridCol w:w="110"/>
        <w:gridCol w:w="110"/>
        <w:gridCol w:w="110"/>
        <w:gridCol w:w="110"/>
        <w:gridCol w:w="213"/>
        <w:gridCol w:w="780"/>
        <w:gridCol w:w="110"/>
        <w:gridCol w:w="109"/>
        <w:gridCol w:w="109"/>
        <w:gridCol w:w="109"/>
        <w:gridCol w:w="234"/>
        <w:gridCol w:w="821"/>
        <w:gridCol w:w="121"/>
        <w:gridCol w:w="109"/>
        <w:gridCol w:w="109"/>
        <w:gridCol w:w="109"/>
        <w:gridCol w:w="328"/>
        <w:gridCol w:w="264"/>
        <w:gridCol w:w="787"/>
      </w:tblGrid>
      <w:tr>
        <w:trPr/>
        <w:tc>
          <w:tcPr>
            <w:tcW w:w="173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 net</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20,923</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and operating expenses: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operating lease right-of-use assets and related property and equipment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(61,217)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(58,929)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gains,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12,989</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1835</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before income tax</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(47,520)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(58,221)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10,701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(47,917)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(58,272)</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10,355</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generated product revenue, net in the amount of $20.9 million, from the sales of AUCATZYL in the United States. We did not generate any product revenue in the three months ended June 30, 2024, as AUCATZYL was approved by the FDA for commercial use on November 8,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2025, we recognized cost of sales of $24.4 million, primarily consisting of salaries and other employment related costs, including share-based compensation expense, for personnel involved in AUCATZYL manufacturing activities, as well as outsourced professional services. These costs also included direct production costs for commercial product manufacturing and allocated facility costs such as maintenance, depreciation, utilities and lease expenses. We did not recognize any cost of sales in the three months ended June 30, 2024, as AUCATZYL was not approved by the FDA for commercial use until November 8, 2024.</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manufacturing expenses incurred prior to AUCATZYL receiving FDA approval were classified as research and development expenses, resulting in zero cost inventory. If cost of sales included previously expensed inventories, the total cost of sales with these manufacturing costs included for the three months ended June 30, 2025, would have increased by approximately $1.9 million.</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additional detail on our research and development expenses (in thousands):</w:t>
      </w:r>
    </w:p>
    <w:tbl>
      <w:tblPr>
        <w:tblW w:w="10205" w:type="dxa"/>
        <w:jc w:val="left"/>
        <w:tblInd w:w="0" w:type="dxa"/>
        <w:tblLayout w:type="fixed"/>
        <w:tblCellMar>
          <w:top w:w="28" w:type="dxa"/>
          <w:left w:w="28" w:type="dxa"/>
          <w:bottom w:w="28" w:type="dxa"/>
          <w:right w:w="28" w:type="dxa"/>
        </w:tblCellMar>
      </w:tblPr>
      <w:tblGrid>
        <w:gridCol w:w="1632"/>
        <w:gridCol w:w="1419"/>
        <w:gridCol w:w="1427"/>
        <w:gridCol w:w="222"/>
        <w:gridCol w:w="776"/>
        <w:gridCol w:w="114"/>
        <w:gridCol w:w="114"/>
        <w:gridCol w:w="114"/>
        <w:gridCol w:w="114"/>
        <w:gridCol w:w="222"/>
        <w:gridCol w:w="776"/>
        <w:gridCol w:w="114"/>
        <w:gridCol w:w="109"/>
        <w:gridCol w:w="109"/>
        <w:gridCol w:w="109"/>
        <w:gridCol w:w="250"/>
        <w:gridCol w:w="804"/>
        <w:gridCol w:w="129"/>
        <w:gridCol w:w="109"/>
        <w:gridCol w:w="109"/>
        <w:gridCol w:w="109"/>
        <w:gridCol w:w="253"/>
        <w:gridCol w:w="253"/>
        <w:gridCol w:w="818"/>
      </w:tblGrid>
      <w:tr>
        <w:trPr/>
        <w:tc>
          <w:tcPr>
            <w:tcW w:w="163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4478"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4478"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Direct research and development expenses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 cell malignancies (Obe-cel &amp; AUTO1/22)</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projects (AUTO4, AUTO5, AUTO6, AUTO7 &amp; AUTO8)</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direct research and development expense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7,381</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8,589</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Indirect research and development expenses and unallocated costs: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share-based compensation)</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8"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27,430</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36,612</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(9,182)</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Indirect research and development expense is net of United Kingdom research and development tax credits</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$9.2 million to $27.4 million for the three months ended June 30, 2025 from $36.6 million for the three months ended June 30, 2024 primarily due to:</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 xml:space="preserve">a decrease of $7.8 million related to our information technology infrastructure and support for information systems related to an allocation of expense from research and development to cost of sales and inventories related to commercial manufacturing following the FDA approval of AUCATZYL in November 2024; </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$2.4 million in salaries and other employment related costs including share-based compensation expense, which was mainly driven by the reallocation of employees to commercial manufacturing activities included in cost of sales and inventories;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$1.8 million in clinical trial costs, clinical manufacturing costs, material transportation costs and utilization of raw materials and consumables relating to research and development activities; offset by:</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$2.8 million in United Kingdom R&amp;D tax credits (resulting in an increase in R&amp;D expense) due to no longer being eligible for the SME scheme and moving to the merged RDEC from January 1, 2025, as well as lower qualifying spend.</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$8.4 million to $30.3 million for the three months ended June 30, 2025 from $21.9 million for the three months ended June 30, 2024 primarily due to: </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an increase of $5.8 million in salaries and other employment related costs including share-based compensation expenses, which was mainly driven by an increase in the number of employees engaged in selling, general and administrative activities;</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$2.4 million in information technology infrastructure and support for information systems and facility costs relating to the conduct of corporate and commercial operations including increase in space utilized for these activities;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$0.2 million in commercial readiness costs including legal and professional fees due to increased commercial readiness activities being undertaken.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Gains,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exchange gains, net increased to $1.5 million for the three months ended June 30, 2025 as compared to $1.2 million for the three months ended June 30, 2024 primarily due to gains and losses on a variety of items, including on U.S. dollar monetary assets and liabilities held by our main operating subsidiary in the United Kingdom, as well as our cash and cash equivalents and liabilities related to future royalties and milestones.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decreased to $5.2 million for the three months ended June 30, 2025, as compared to $9.6 million for the three months ended June 30, 2024. The decrease in interest income of $4.4 million was primarily driven by lower aggregate balances and yield associated with our cash, cash equivalents and marketable securities during the three months ended June 30, 2025 as compared to the three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to negative $6.8 million for the three months ended June 30, 2025 as compared to $10.2 million for the three months ended June 30, 2024. Interest expense, net decreased by $17.0 million primarily due to changes in the assumptions used in the valuation of the Collaboration Agreement with Blackstone and the BioNTech License and Option Agreement for the three months ended June 30, 2025 compared to the three months ended June 30, 2024. Changes in the assumptions used in the valuation of the Collaboration Agreement with Blackstone and the BioNTech License and Option Agreement resulted in a negative cumulative catch-up adjustment which exceeded the interest expense accrued relating to Blackstone Collaboration Agreement (“Blackstone Collaboration Agreement Liability”) and the BioNTech Obe-cel Product Revenue Interest (“BioNTech Liability”) during the three months ended June 30, 2025 compared to the same period in 2024.</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increased to $0.4 million for the three months ended June 30, 2025 as compared to less than $0.1 million for the three months ended June 30, 2024. Income tax expenses increased by $0.3 million primarily due to an increase in Autolus Inc.'s taxable income due to the recognition of product revenue, net and related intra-group recharges during the three months ended June 30, 2025 compared to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Comparison of Six Months Ended June 30, 2025 and 2024</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2025, and 2024 (in thousands):</w:t>
      </w:r>
    </w:p>
    <w:p>
      <w:pPr>
        <w:pStyle w:val="TextBody"/>
        <w:bidi w:val="0"/>
        <w:spacing w:before="0" w:after="0"/>
        <w:ind w:left="0" w:right="0" w:firstLine="630"/>
        <w:jc w:val="left"/>
        <w:rPr/>
      </w:pPr>
      <w:r>
        <w:rPr/>
      </w:r>
    </w:p>
    <w:tbl>
      <w:tblPr>
        <w:tblW w:w="10205" w:type="dxa"/>
        <w:jc w:val="left"/>
        <w:tblInd w:w="0" w:type="dxa"/>
        <w:tblLayout w:type="fixed"/>
        <w:tblCellMar>
          <w:top w:w="28" w:type="dxa"/>
          <w:left w:w="28" w:type="dxa"/>
          <w:bottom w:w="28" w:type="dxa"/>
          <w:right w:w="28" w:type="dxa"/>
        </w:tblCellMar>
      </w:tblPr>
      <w:tblGrid>
        <w:gridCol w:w="1695"/>
        <w:gridCol w:w="1308"/>
        <w:gridCol w:w="1313"/>
        <w:gridCol w:w="211"/>
        <w:gridCol w:w="872"/>
        <w:gridCol w:w="109"/>
        <w:gridCol w:w="109"/>
        <w:gridCol w:w="109"/>
        <w:gridCol w:w="109"/>
        <w:gridCol w:w="211"/>
        <w:gridCol w:w="872"/>
        <w:gridCol w:w="109"/>
        <w:gridCol w:w="109"/>
        <w:gridCol w:w="109"/>
        <w:gridCol w:w="109"/>
        <w:gridCol w:w="236"/>
        <w:gridCol w:w="807"/>
        <w:gridCol w:w="121"/>
        <w:gridCol w:w="109"/>
        <w:gridCol w:w="109"/>
        <w:gridCol w:w="109"/>
        <w:gridCol w:w="321"/>
        <w:gridCol w:w="261"/>
        <w:gridCol w:w="778"/>
      </w:tblGrid>
      <w:tr>
        <w:trPr/>
        <w:tc>
          <w:tcPr>
            <w:tcW w:w="169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 net</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19,814</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Cost and operating expenses: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operating lease right-of-use assets and related property and equipment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(28,771)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gains (losses),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other income (expense), net</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24,232</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loss before income tax</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(4,539)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(118,081)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(110,962)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(7,119)</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generated product revenue, net amounting to $29.9 million, from the sale of AUCATZYL in the United States. We did not generate any product revenue in the six months ended June 30, 2024, as AUCATZYL was approved by the FDA for commercial use on November 8, 2024.</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License Revenue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There was no license revenue recognized for the six months ended June 30, 2025. License revenue amounting to $10.1 million for the six months ended June 30, 2024 was related to license revenue recognized pursuant to the </w:t>
      </w:r>
      <w:r>
        <w:rPr>
          <w:rFonts w:ascii="Times New Roman;serif" w:hAnsi="Times New Roman;serif"/>
          <w:b w:val="false"/>
          <w:color w:val="000000"/>
          <w:sz w:val="20"/>
          <w:shd w:fill="FFFFFF" w:val="clear"/>
        </w:rPr>
        <w:t xml:space="preserve">License and Option Agreement with </w:t>
      </w:r>
      <w:r>
        <w:rPr>
          <w:rFonts w:ascii="Times New Roman;serif" w:hAnsi="Times New Roman;serif"/>
          <w:b w:val="false"/>
          <w:color w:val="000000"/>
          <w:sz w:val="20"/>
        </w:rPr>
        <w:t>BioNTech.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2025, we recognized cost of sales of $42.4 million, primarily consisting of salaries and other employment related costs, including share-based compensation expense, for personnel involved in AUCATZYL manufacturing activities, as well as outsourced professional services. These costs also included direct production costs for commercial product manufacturing and allocated facility costs such as maintenance, depreciation, utilities and lease expenses. We did not recognize any cost of sales in the six months ended June 30, 2024, as AUCATZYL was not approved by the FDA for commercial use until November 8, 2024.</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manufacturing expenses incurred prior to AUCATZYL receiving the FDA approval were classified as research and development expenses, resulting in zero cost inventory. If cost of sales included previously expensed inventories, the total cost of sales with these manufacturing costs included for the six months ended June 30, 2025, would have increased by approximately $4.3 million.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additional detail on our research and development expenses (in thousands):</w:t>
      </w:r>
    </w:p>
    <w:tbl>
      <w:tblPr>
        <w:tblW w:w="10205" w:type="dxa"/>
        <w:jc w:val="left"/>
        <w:tblInd w:w="0" w:type="dxa"/>
        <w:tblLayout w:type="fixed"/>
        <w:tblCellMar>
          <w:top w:w="28" w:type="dxa"/>
          <w:left w:w="28" w:type="dxa"/>
          <w:bottom w:w="28" w:type="dxa"/>
          <w:right w:w="28" w:type="dxa"/>
        </w:tblCellMar>
      </w:tblPr>
      <w:tblGrid>
        <w:gridCol w:w="1665"/>
        <w:gridCol w:w="1448"/>
        <w:gridCol w:w="1456"/>
        <w:gridCol w:w="211"/>
        <w:gridCol w:w="736"/>
        <w:gridCol w:w="109"/>
        <w:gridCol w:w="109"/>
        <w:gridCol w:w="109"/>
        <w:gridCol w:w="109"/>
        <w:gridCol w:w="211"/>
        <w:gridCol w:w="736"/>
        <w:gridCol w:w="109"/>
        <w:gridCol w:w="109"/>
        <w:gridCol w:w="109"/>
        <w:gridCol w:w="109"/>
        <w:gridCol w:w="233"/>
        <w:gridCol w:w="864"/>
        <w:gridCol w:w="120"/>
        <w:gridCol w:w="109"/>
        <w:gridCol w:w="109"/>
        <w:gridCol w:w="109"/>
        <w:gridCol w:w="254"/>
        <w:gridCol w:w="254"/>
        <w:gridCol w:w="818"/>
      </w:tblGrid>
      <w:tr>
        <w:trPr/>
        <w:tc>
          <w:tcPr>
            <w:tcW w:w="166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percentage)</w:t>
            </w:r>
          </w:p>
        </w:tc>
      </w:tr>
      <w:tr>
        <w:trPr/>
        <w:tc>
          <w:tcPr>
            <w:tcW w:w="4569" w:type="dxa"/>
            <w:gridSpan w:val="3"/>
            <w:tcBorders/>
            <w:tcMar>
              <w:top w:w="0" w:type="dxa"/>
              <w:left w:w="0" w:type="dxa"/>
              <w:bottom w:w="0" w:type="dxa"/>
              <w:right w:w="0" w:type="dxa"/>
            </w:tcMar>
            <w:vAlign w:val="center"/>
          </w:tcPr>
          <w:p>
            <w:pPr>
              <w:pStyle w:val="TableContents"/>
              <w:bidi w:val="0"/>
              <w:spacing w:before="0" w:after="40"/>
              <w:jc w:val="left"/>
              <w:rPr/>
            </w:pPr>
            <w:r>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Direct research and development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 cell malignancies (Obe-cel, AUTO1/22)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projects (AUTO4, AUTO5, AUTO6, AUTO7 &amp; AUTO8)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direct research and development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Indirect research and development expenses and unallocated costs: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4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share-based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67,283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right"/>
              <w:rPr/>
            </w:pPr>
            <w:r>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(13,119)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8552"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Indirect research and development expense is net of U.K. research and development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85"/>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$13.1 million to $54.2 million for the six months ended June 30, 2025 from $67.3 million for the six months ended June 30, 2024 primarily due to:</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a decrease of $14.0 million related to our information technology infrastructure and support for information systems related to an allocation of expense from research and development to cost of sales and inventories related to commercial manufacturing following FDA approval of AUCATZYL in November 2024;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$4.4 million in salaries and other employment related costs including share-based compensation expense, which was mainly driven by the reallocation of employees to commercial manufacturing activities included in cost of sales and inventories; offset by:</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 decrease of $3.9 million in United Kingdom R&amp;D tax credits (increase in R&amp;D expense) due to no longer being eligible for the SME scheme and moving to the merged RDEC from January 1, 2025, and lower qualifying spend;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$1.4 million in clinical trial costs, clinical manufacturing costs, material transportation costs and utilization of raw materials and consumables relating to research and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$19.7 million to $59.8 million for the six months ended June 30, 2025 from $40.1 million for the six months ended June 30, 2024 primarily due to: </w:t>
      </w:r>
    </w:p>
    <w:p>
      <w:pPr>
        <w:pStyle w:val="TextBody"/>
        <w:bidi w:val="0"/>
        <w:spacing w:lineRule="auto" w:line="288" w:before="120" w:after="283"/>
        <w:jc w:val="both"/>
        <w:rPr/>
      </w:pPr>
      <w:r>
        <w:rPr>
          <w:color w:val="000000"/>
        </w:rPr>
        <w:t>•</w:t>
      </w:r>
      <w:r>
        <w:rPr>
          <w:rFonts w:ascii="Times New Roman;serif" w:hAnsi="Times New Roman;serif"/>
          <w:b w:val="false"/>
          <w:color w:val="000000"/>
          <w:sz w:val="20"/>
        </w:rPr>
        <w:t>an increase of $13.8 million in salaries and other employment related costs including share-based compensation expenses, which was mainly driven by an increase in the number of employees engaged in selling, general and administrative activities;</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$4.1 million in information technology infrastructure and support for information systems and facility costs relating to the conduct of corporate and commercial operations including increase in space utilized for these activities; and</w:t>
      </w:r>
    </w:p>
    <w:p>
      <w:pPr>
        <w:pStyle w:val="TextBody"/>
        <w:bidi w:val="0"/>
        <w:spacing w:lineRule="auto" w:line="288" w:before="60" w:after="283"/>
        <w:jc w:val="both"/>
        <w:rPr/>
      </w:pPr>
      <w:r>
        <w:rPr>
          <w:color w:val="000000"/>
        </w:rPr>
        <w:t>•</w:t>
      </w:r>
      <w:r>
        <w:rPr>
          <w:rFonts w:ascii="Times New Roman;serif" w:hAnsi="Times New Roman;serif"/>
          <w:b w:val="false"/>
          <w:color w:val="000000"/>
          <w:sz w:val="20"/>
        </w:rPr>
        <w:t>an increase of $1.8 million in commercial readiness costs including legal and professional fees and marketing costs due to increased commercial readiness activities being undertaken.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Exchange Gains (Losses),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exchange gains (losses), net increased to a gain of $2.7 million for the six months ended June 30, 2025 from a loss of $0.5 million for the six months ended June 30, 2024. The gains and losses rises on a variety of items, including on U.S. dollar monetary assets and liabilities held by our main operating subsidiary in the United Kingdom, including our cash and cash equivalents and liabilities related to future royalties and milestones.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decreased to $11.4 million for the six months ended June 30, 2025, as compared to $16.6 million for the six months ended June 30, 2024. The decrease in interest income of $5.2 million primarily relates to lower aggregate balances and yield associated with our cash, cash equivalents and available-for-sale securities during the six months ended June 30, 2025 as compared to the six months ended June 30, 2024.</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to $3.3 million for the six months ended June 30, 2025 as compared to $29.4 million for the six months ended June 30, 2024. Interest expense, net decreased by $26.1 million primarily due to cumulative catch up adjustments as a result of changes in the assumptions used in the valuation of the Collaboration Agreement with Blackstone and the BioNTech License and Option Agreement for the six months ended June 30, 2025 compared to the six months ended June 30, 2024.</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Expenses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increased to $2.6 million for the six months ended June 30, 2025 as compared to less than $0.1 million for the six months ended June 30, 2024. Income tax expenses, net increased by $2.6 million primarily due to an increase in Autolus Inc.'s taxable income due to the recognition of product revenue, net and related intra-group recharges during the six months ended June 30, 2025 compared to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we have one product, AUCATZYL, approved for commercial sale in the United States, United Kingdom, and the EU, with the first commercial sale occurring in the United States in January 2025. We have not yet begun sales of AUCATZYL in the United Kingdom or the EU. Although we have recorded product revenue for sales of AUCATZYL, we have continued to incur operating losses and generate cumulative negative cash flows from our operations since our inception. We have an accumulated deficit of $1,217.3 million as of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incur significant expenses and operating losses for the foreseeable future as we market and continue commercialization of AUCATZYL and advance our other product candidates through preclinical and clinical development and seek regulatory approval and pursue commercialization of any additional approved products. As a result, we will need significant additional capital to fund our operations until such time as we can generate significant revenue from sales of AUCATZYL or other products for which we may obtain regulatory approval.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funded our operations to date primarily with proceeds from product revenue, government grants, sales of our equity securities, through public offerings and pursuant to our at-the-equity market facility, through United Kingdom research and development tax credits and receipts from the SME and RDEC schemes, out-licensing arrangements and strategic collaboration and financing agreements. From our inception in 2014 through June 30, 2025, we have generated an aggregate of $1.7 billion from these capital sources.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we had cash and cash equivalents of $123.8 million and available-for-sale debt securities of $330.5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of the periods presented (in thousands):</w:t>
      </w:r>
    </w:p>
    <w:tbl>
      <w:tblPr>
        <w:tblW w:w="9084" w:type="dxa"/>
        <w:jc w:val="left"/>
        <w:tblInd w:w="0" w:type="dxa"/>
        <w:tblLayout w:type="fixed"/>
        <w:tblCellMar>
          <w:top w:w="28" w:type="dxa"/>
          <w:left w:w="28" w:type="dxa"/>
          <w:bottom w:w="28" w:type="dxa"/>
          <w:right w:w="28" w:type="dxa"/>
        </w:tblCellMar>
      </w:tblPr>
      <w:tblGrid>
        <w:gridCol w:w="2290"/>
        <w:gridCol w:w="2017"/>
        <w:gridCol w:w="2023"/>
        <w:gridCol w:w="211"/>
        <w:gridCol w:w="901"/>
        <w:gridCol w:w="109"/>
        <w:gridCol w:w="109"/>
        <w:gridCol w:w="109"/>
        <w:gridCol w:w="109"/>
        <w:gridCol w:w="211"/>
        <w:gridCol w:w="841"/>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Net (decrease)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(103,473)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466,624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Net Cash Used in Operating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operating activities used $148.3 million of cash, resulting from our net loss of $118.1 million and net cash used resulting from changes in our operating assets and liabilities of $40.6 million, partially offset by non-cash charges of $10.4 million. The non-cash charges related to share-based compensation of $7.2 million, depreciation of $4.1 million, interest expense on liabilities related to future royalties and milestones, net, of $3.3 million, inventory reserves and write-offs of $3.2 million, non-cash operating lease expense of $1.9 million, deferred income tax of $0.9 million and amortization of $0.6 million, which was offset by foreign exchange differences of $5.7 million and accretion on available-for-sale securities of $5.1 million. Net cash used in operating activities resulting from changes in our operating assets and liabilities for the six months ended June 30, 2025 consisted primarily of an increase in accounts receivable of $26.7 million, an increase in inventories of $21.5 million and a decrease in accrued expenses and other liabilities of $5.2 million, offset by an increase of $6.6 million in our operating lease liability, an increase in accounts payable of $3.4 million, an increase in deferred revenue of $2.1 million, and a net decrease of $0.7 million in prepaid expenses and other current and non-current assets.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2024, operating activities used $91.6 million of cash, resulting from our net loss of $111.0 million and net cash used resulting from changes in our operating assets and liabilities of $22.6 million, partially offset by non-cash charges of $42.0 million. The non-cash charges related to interest expense accrued and cumulative catch-up adjustment of $29.4 million, share-based compensation of $5.2 million, depreciation and amortization of $3.7 million, non-cash operating lease expense of $2.3 million, foreign exchange differences of $1.2 million, and impairment of operating lease right-of-use assets and related property and equipment of $0.4 million, which was offset by deferred income tax movement of $0.2 million. Net cash used in operating activities resulting from changes in our operating assets and liabilities for the six months ended June 30, 2024 consisted primarily of a net increase of $16.7 million in prepaid expenses and other current and non-current assets, a decrease in accrued expenses and other liabilities of $4.3 million, and a decrease of $2.6 million in our operating lease liability, offset by an increase in accounts payable of $1.0 million.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Net Cash Provided by (Used in) Investing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net cash provided by investing activities amounted to $36.4 million and net cash used in investing activities amounted to $1.4 million, respectively. Net cash used in investing activities during the six months ended June 30, 2025 consisted of purchases of an aggregate of $119.3 million worth of marketable securities and of purchases of an aggregate of $15.5 million worth of property and equipment, which was partially offset by $171.2 million of maturity and redemption of marketable securities for the six months ended June 30, 2025. During the six months ended June 30, 2024, net cash used in investing activities related to the purchase of property and equipment.</w:t>
      </w:r>
    </w:p>
    <w:p>
      <w:pPr>
        <w:pStyle w:val="TextBody"/>
        <w:bidi w:val="0"/>
        <w:spacing w:lineRule="auto" w:line="288" w:before="240" w:after="40"/>
        <w:ind w:left="0" w:right="0" w:firstLine="720"/>
        <w:jc w:val="both"/>
        <w:rPr>
          <w:rFonts w:ascii="Times New Roman;serif" w:hAnsi="Times New Roman;serif"/>
          <w:b/>
          <w:i/>
          <w:color w:val="000000"/>
          <w:sz w:val="20"/>
        </w:rPr>
      </w:pPr>
      <w:r>
        <w:rPr>
          <w:rFonts w:ascii="Times New Roman;serif" w:hAnsi="Times New Roman;serif"/>
          <w:b/>
          <w:i/>
          <w:color w:val="000000"/>
          <w:sz w:val="20"/>
        </w:rPr>
        <w:t>Net Cash (Used in) Provided by Financing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net cash used in financing activities amounted to $0.8 million which was primarily a result of revenue share payments. During the six months ended June 30, 2024, net cash provided by financing activities of $559.4 million related to net aggregate proceeds raised from the BioNTech Agreements and our underwritten offering of ADSs.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expenses to increase substantially in connection with our ongoing activities, particularly as we begin to market and sell AUCATZYL, operate our new commercial manufacturing facility and advance the preclinical activities and clinical trials of our other product candidates. Our expenses will increase as we: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establish and expand our sales, marketing and distribution infrastructure in connection with commercializing AUCATZYL and other product candidates for which we may obtain marketing approval and intend to commercialize on our own or jointly;</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seek regulatory approvals for any other product candidates that successfully complete preclinical and clinical trials;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hire additional manufacturing, clinical, medical and development personnel;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expand our infrastructure and facilities to accommodate our growing employee base; and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uses of capital are compensation and related expenses, clinical costs, external research and development services, laboratory and related supplies, legal and other regulatory expenses, manufacturing and selling AUCATZYL, and administrative and overhead costs. Our future funding requirements will be heavily determined by the resources needed to support the development of our product candidates and commercialization of AUCATZYL. We also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our current clinical development and commercialization plans, we believe our existing cash and cash equivalents of $123.8 million and marketable securities of $330.5 million as of June 30, 2025, will enable us to fund our current and planned operating expenses and capital expenditure requirements for at least twelve months from the date of issuance of this Quarterly Report. We have based these estimates on assumptions that may prove to be wrong, and we could utilize our available capital resources sooner than we expect. If we receive regulatory approval for our other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research, development and commercialization of pharmaceutical product candidates, we are unable to estimate the exact amount of our working capital requirements. Our future funding requirements will depend on and could increase significantly as a result of many factors, including:</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our ability to continue to execute our commercialization strategies for AUCATZYL and, if approved, any of our other product candidates for which we may receive regulatory approval;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scope, progress, outcome and costs of our clinical trials and other research and development activities;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timing, receipt and terms of any marketing approvals from applicable regulatory authorities;</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of future activities, including product sales, medical affairs, marketing, manufacturing and distribution, for AUCATZYL or any of our product candidates for which we receive marketing approval;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revenue, if any, received from commercial sale of AUCATZYL or our other product candidates, should any receive marketing approval;</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and timing of hiring new employees to support our continued growth;</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 and</w:t>
      </w:r>
    </w:p>
    <w:p>
      <w:pPr>
        <w:pStyle w:val="TextBody"/>
        <w:bidi w:val="0"/>
        <w:spacing w:lineRule="auto" w:line="288" w:before="60" w:after="283"/>
        <w:ind w:left="0" w:right="0" w:hanging="180"/>
        <w:jc w:val="both"/>
        <w:rPr/>
      </w:pPr>
      <w:r>
        <w:rPr>
          <w:color w:val="000000"/>
        </w:rPr>
        <w:t>•</w:t>
      </w:r>
      <w:r>
        <w:rPr>
          <w:rFonts w:ascii="Times New Roman;serif" w:hAnsi="Times New Roman;serif"/>
          <w:b w:val="false"/>
          <w:color w:val="000000"/>
          <w:sz w:val="20"/>
        </w:rPr>
        <w:t>the extent to which we in-license or acquire additional product candidates or technologies.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Until such time, if ever, that we can generate product revenue sufficient to achieve profitability, we expect to finance our cash needs through a combination of public or private equity offerings, reimbursable United Kingdom research and development tax credits and receipts from the SME and RDEC schemes, out-licensing agreements, or strategic collaboration agreements. To the extent that we raise additional capital through the sale of equity, the ownership interest of existing shareholders will be diluted. If we raise additional funds through other third-party funding, collaborations agreements, strategic alliances, out-licensing agreements or marketing and distribution arrangements,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unaudited condensed consolidated interim financial statements, which we have prepared in accordance with U.S. GAAP.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unaudited condensed consolidated interim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we have included an update to our significant judgments and accounting estimates from those included in our Annual Report.</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Expected rebate and chargeback percentage for product revenue deductions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approval of AUCATZYL in the United States in November 2024, we have a short history of actual rebate claims or chargebacks, and such information may have limited predictive value. We use the expected value method to estimate expected rebate and chargeback percentages for revenue deductions, which considers the likelihood of a rebate or chargeback being applicable to sales. The proportion of sales subject to a rebate or chargeback is inherently uncertain and estimates are based on internal assumptions, which may change as we develop more product experience, and third-party data, which we assess for reliability and relevance.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state government Medicaid and Tricare programs and other qualifying federal and state programs in the United States requiring rebates to be paid to participating state and local government entities, depending on the eligibility and circumstances of patients treated with AUCATZYL.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wholly-owned subsidiary in the US also participates in programs with government entities, the most significant of which are the DoD and the VA, and other parties, including covered entities under the 340B Program, whereby pricing on AUCATZYL is extended below list price to participating entities, including ATCs. These entities are entitled to purchase AUCATZYL at the lower program price by charging the Company the difference between their acquisition cost and the lower program price. Estimating expected rebate and chargeback percentages for revenue deductions is judgmental due to the time delay between the date of the sale to ATCs and the subsequent dates on which we are able to determine actual amounts of chargebacks and rebates.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form estimates of the 340B Program, the DoD and the VA chargeback deductions by analyzing sell-through data relating to the hospital mix of onward sales made by ATCs. For Medicaid and TriCare, we form estimates based on information obtained from claims received, historical and estimated payor mix, setting of care, discount rates and other industry data, and external health coverage statistics. Judgment is applied to consider the relevance and reliability of information used to make these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product revenue deductions for the six months ended June 30, 2025 of $2.1 million were related to critical estimates subject to significant estimation uncertainty and judgment, as described above. We recorded $1.6 million within accrued expenses and other current liabilities in the unaudited condensed consolidated balance sheet related to these deductions as of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increase or decrease of 10% in the portion of sales estimated to be subject to expected rebate and chargeback percentages for amounts payable to governments or government agencies, as described above, would have resulted in a $0.6 million reduction or increase in Product revenue, net reported in the unaudited condensed consolidated statements of operations and comprehensive loss for the six months ended June 30, 2025. We believe our expected values of accruals reported in the unaudited condensed consolidated balance sheet are materially appropriate; however, due to the uncertainties and judgements outlined above, it is possible eventual amounts could significantly differ to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other than disclosed in Notes 15 to 16 to our unaudited condensed consolidated interim financial statements included in this Quarterly Report, there have been no material changes to our contractual obligations and commitments from those described under “Management’s Discussion and Analysis of Financial Condition and Results of Operations” included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Recent Accounting Pronouncements Not Yet Adopted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and results of operations is disclosed in Note 2, “Summary of Significant Accounting Policies,” to our unaudited condensed consolidated interim financial statements included in this Quarterly Report.</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which are principally limited to interest rate fluctuations and foreign currency exchange rate fluctuations. We maintain significant amounts of cash that are in excess of federally insured limits in various currencies, placed with one or more financial institutions for varying periods according to expected liquidity requirements.</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exposure to interest rate sensitivity is primarily impacted by changes in the underlying United States and United Kingdom bank interest rates. As of June 30, 2025, we had cash and cash equivalents of $123.8 million and marketable securities of $330.5 million, respectively. As of December 31, 2024, we had cash and cash equivalents of $227.4 million and marketable securities of $360.6 million, respectively. Our surplus cash has been invested in interest-bearing savings, money market funds and marketable securities. A hypothetical one percentage point change in interest rates, sustained over the reporting period would have resulted in a $1.2 million increase in interest income on our unaudited condensed consolidated statements of operations and comprehensive loss for the three and six months ended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 Blackstone Collaboration Agreement Liability has a fixed effective interest rate and is not subject to any fluctuations due to interest rates. However, the effective interest rate for the BioNTech Liability may be subject to fluctuations due to the discretionary nature of certain contractual payments to us. We have no other debt outstanding that is subject to interest rate variability. The carrying amount of the Blackstone Collaboration Agreement Liability and BioNTech Liability is based on our estimate of the future royalties, milestones to be paid to Blackstone by us and the expected Blackstone Development Payment to be received over the life of the arrangement as discounted using the initial effective interest rate. The excess or deficit of estimated present value of future royalty, milestone payments and the future Blackstone Development Payment received over the carrying amount is recognized as a cumulative catch-up adjustment within interest expense, net using the effective interest rate. </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Foreign currency risk is the risk that the fair value or future cash flows of a financial instrument will fluctuate because of changes in foreign exchange rates. Our exposure to the risk of changes in foreign exchange rates relates primarily to fluctuations in value of foreign currency cash and cash equivalent balances and liabilities relating to future royalties and milestones held by our main operating subsidiary in the United Kingdom, our operating activities in the United States, and outsourced supplier agreements denominated in currencies other than pound sterling. We minimize foreign currency risk by maintaining cash and cash equivalents of each currency at levels sufficient to meet foreseeable expenditure to the extent practical.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substantially of our cash and cash equivalents were held by one of our United Kingdom subsidiaries, of which approximately 54% were denominated in pound sterling and approximately 44% were denominated in U.S. dollars, with immaterial amounts denominated in euros and Swiss francs. The significant remainder of our cash and cash equivalents are held by our U.S. subsidiary and denominated in U.S. dollars.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our accounting records in pounds sterling, our functional currency, and present our consolidated financial statements in U.S. dollars for financial reporting purposes.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We recorded foreign exchange gains of $1.5 million and $1.2 million for the three months ended June 30, 2025 and 2024, respectively foreign exchange gains of $2.7 million for the six months ended June 30, 2025 and foreign exchange losses of $0.5 million for the six months ended June 30, 2024 which are included in foreign exchange gains (losses), net in the unaudited condensed consolidated statements of operations and comprehensive loss.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Assets and liabilities are translated at the exchange rates at the balance sheet dates and revenue and expenses are translated at the average exchange rates and shareholders’ equity is translated based on historical exchange rates. Translation adjustments are not included in determining net income (loss) but are included in foreign exchange adjustment to accumulated other comprehensive income (loss), a component of shareholders’ equity.</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and Rule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and Exchange Act of 1934, as amended (“Exchange Act”) is accumulated and communicated to our management, including our principal executive and principal financial officers, as appropriate to allow timely decisions regarding required disclosure.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June 30,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such evaluation, our Chief Executive Officer and our Chief Financial Officer have concluded that our disclosure controls and procedures were effective at June 30, 2025.</w:t>
      </w:r>
    </w:p>
    <w:p>
      <w:pPr>
        <w:pStyle w:val="TextBody"/>
        <w:bidi w:val="0"/>
        <w:spacing w:lineRule="auto" w:line="288" w:before="180" w:after="283"/>
        <w:ind w:left="0" w:right="0" w:firstLine="7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changes in our internal control over financial reporting (as defined in Rules 13a-15(e) and 15d – 15(e)) under the Exchange Act) occurred during the quarter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You should carefully consider and evaluate each of the following factors as well as the other information in this Quarterly Report on Form 10-Q, including our financial statements, and related notes, the risk factors discussed in our most recent Annual Report on Form 10-K,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our ADSs could decline. You should also consider the more detailed description of our business contained in our Annual Report on Form 10-K.</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Our products and product candidates are subject to government price controls in certain jurisdictions that may affect our ability to ability to receive adequate coverage and reimbursement for AUCATZYL, which could make it difficult for us to sell AUCATZYL profitably.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Trump U.S. presidential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and proposals may include, for example, (1) reducing agency workforce; (2) directing program cuts; (3) rescinding a Biden administration executive order tasking the Center for Medicare and Medicaid Innovation, or CMMI, to consider new payment and healthcare models to limit drug spending and eliminating the Biden administration’s executive order that directed HHS to establishing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of imported pharmaceutical products; (6) directing certain federal agencies to enforce existing law regarding hospital and plan price transparency and by standardizing prices across hospitals and health plans; and (7) increasing regulatory requirements. On April 1, 2025, CMS published Healthcare Common Procedure Coding System (“HCPCS”) application summaries and coding determinations, as well as the Outpatient Prospective Payment System (“OPPS”) Addendum B payment rates. AUCATZYL was included in these CMS publications, formalizing reimbursement for patients on government programs such as Medicare and Medicaid. The CMS policy splits the therapeutic dose of AUCATZYL into two administrations for coding and billing purposes. Because AUCATZYL is administered in two infusions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ten days apart, the CMS policy to bill each infusion separately may delay our and our treatment centers’ ability to recognize revenue from a particular treatment. Additionally, in May 2025, NICE issued a preliminary ACD recommending against NHS funding for AUCATZYL in the United Kingdom. A second meeting with NICE is planned in August 2025. Until NICE recommends NHS funding for AUCATZYL, we may not receive adequate coverage and reimbursement for AUCATZYL to support a commercial launch in the United Kingdom, which we currently anticipate in the second half of 2025, subject to NICE recommendation.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the United States and some foreign jurisdictions, there have been, and continue to be, several legislative and regulatory changes and proposed changes regarding the healthcare system that could prevent or delay marketing approval of product candidates, restrict or regulate post approval activities, and affect our ability to profitably sell any products and products candidates for which we obtain marketing approval.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Market acceptance and sales of AUCATZYL will depend in part on the extent to which adequate reimbursement will be available from third-party payors, including government health administration authorities such as CMS in the United States and NHS in the United Kingdom. Third-party payors in the United States often rely upon Medicare coverage policy and payment limitations in setting their own coverage and reimbursement policies. Patients are unlikely to use our products, and providers are unlikely to prescribe our products, unless coverage is provided and reimbursement is adequate to cover a significant portion of the cost of our products and their administration, and is provided in a timely manner. Therefore, coverage and adequate reimbursement is critical to new medical product acceptance.</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We may not obtain or maintain the benefits associated with orphan drug designation, including market exclusivity or favorable pricing.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Obe-cel in B-ALL received orphan drug designation from the FDA in November 2019 and orphan medicinal product status from the European Commission in March 2022.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Orphan drug exclusive marketing rights may be lost if the FDA or European Commission (on the basis of the opinion of the EMA) later determines that the request for designation was materially defective or if the manufacturer is unable to assure sufficient quantity of the drug to meet the needs of patients with the rare disease or condition. In the EU, alongside applying for marketing authorization, the applicant must submit a report to European Medicine Agency's Committee for Orphan Medicinal Products (“COMP”) demonstrating that the criteria for orphan designation are still met; if they are not, the medicine loses its orphan status. An applicant can choose to withdraw their application for orphan designation in the EU at any point before the COMP adopts an opinion.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 For example, based on feedback from the COMP and the results of the latest COMP assessment, in June 2025, we voluntarily withdrew obe-cel from the EU register of orphan medicinal products. Following a thorough evaluation, we have determined not to proceed with the launch of AUCATZYL in Europe in the near term, in part due to the difficulty of achieving a commercially viable price in the absence of orphan drug designation.</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International trade policies, including tariffs, sanctions and trade barriers may adversely affect our business, financial condition, results of operations and prospects.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global economy, and our business depends on a global supply chain for the development, manufacturing, and distribution of our pharmaceutical products, and for the advancement of our preclinical and clinical development programs.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We source significant quantities of active pharmaceutical ingredients (“API”), precursor chemicals, and specialized equipment from international suppliers, with substantial reliance on foreign manufacturers. In addition, we manufacture all of our commercial supplies of AUCATZYL and clinical supplies of our other product candidates in the U.K. Tariff policies, particularly those affecting pharmaceutical products, could materially increase our costs and reduce our profitability, including as a result of our inability to adjust pricing in formulary-based markets. Recent and potential future changes in international trade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particularly regarding pharmaceutical-specific tariffs, present material risks to our operations and financial performance. Even if our own products are not directly subject to tariffs, the administration of a complex, rapidly changing tariff scheme by limited government personnel at the various U.S. ports of entry may prove challenging, and may create delays in our provision of commercial or clinical supply.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Recent policy discussions have included potential targeted tariffs or other trade measures specifically aimed at pharmaceutical products and ingredients as part of broader healthcare cost control or national security initiatives. Unlike consumer goods, pharmaceuticals face unique regulatory constraints that make rapid supply chain adjustments particularly difficult and costly. Should the current tariffs hold or additional tariffs be imposed specifically targeting pharmaceutical imports, our production costs could rise significantly, and it would be difficult and costly to qualify alternative sources within another country with a lower tariff rate or within the United States, as developing and qualifying alternative sources typically requires at least 18-24 months and substantial investment and regulatory approvals. Moreover, the dynamic and unpredictable tariff and trade landscape creates substantial uncertainty and significant planning challenges for our operations.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tariff classifications, country-of-origin requirements, or customs procedures can occur with limited notice. This uncertainty complicates our long-term investment decisions regarding manufacturing facilities, supply chain optimization, and research and development locations.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Unlike many industries, our ability to pass increased costs to customers is limited by the structure of pharmaceutical pricing and reimbursement systems. Many of our products are included in formularies with pricing established through annual or multi-year contracts with commercial, third-party payors and pharmacy benefit managers,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Current or future tariffs will also result in increased research and development expenses, including with respect to increased costs associated with APIs, raw materials, laboratory equipment and research materials and components. Trade restrictions could result in delays to our development timelines, either by directly affecting the import of materials necessary for our clinical trials and commercialization efforts, or by creating bottlenecks at the U.S. ports of entry.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United States entities, which may limit our ability to compete internationally and attract non-U.S. investment, employees, customers and suppliers. Foreign governments may also take other retaliatory actions against the United States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or escalation in trade tensions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our Annual Report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none of our directors or officers (as defined in Rule 16a-1(f) under the Exchange Act) adopted or terminated a “Rule 10b5-1 trading arrangement” or “non-Rule 10b5-1 trading arrangement,” as each term is defined in Item 408(a) of Regulation S-K.</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Voluntary Withdrawal of Orphan Drug Designation for obe-cel in the European Union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reported, in March 2022, our product obe-cel received European Commission orphan drug designation. In June 2025, we met with the European Medicines Agency's Committee for Orphan Medicinal Products, which is responsible for assessing continued eligibility for EU orphan drug designation. Following such meeting, in June 2025, we voluntarily withdrew obe-cel from the EU register of orphan medicinal products. In July 2025, following a thorough evaluation of the commercial viability of marketing obe-cel in the European Union without an orphan designation, as well as the challenges associated with the framework of pricing policies for advanced cell therapies within the European Union and the potential impact of proposed most favored nations pricing policies in the United States, we put the launch of obe-cel in Germany on hold. Evaluation of potential pricing and feasibility of market entry opportunities is ongoing.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either provided with this Quarterly Report on Form 10-Q or are incorporated herein by reference:</w:t>
      </w:r>
    </w:p>
    <w:tbl>
      <w:tblPr>
        <w:tblW w:w="10205" w:type="dxa"/>
        <w:jc w:val="left"/>
        <w:tblInd w:w="0" w:type="dxa"/>
        <w:tblLayout w:type="fixed"/>
        <w:tblCellMar>
          <w:top w:w="28" w:type="dxa"/>
          <w:left w:w="28" w:type="dxa"/>
          <w:bottom w:w="28" w:type="dxa"/>
          <w:right w:w="28" w:type="dxa"/>
        </w:tblCellMar>
      </w:tblPr>
      <w:tblGrid>
        <w:gridCol w:w="388"/>
        <w:gridCol w:w="340"/>
        <w:gridCol w:w="343"/>
        <w:gridCol w:w="109"/>
        <w:gridCol w:w="109"/>
        <w:gridCol w:w="109"/>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461"/>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5918" w:type="dxa"/>
            <w:gridSpan w:val="18"/>
            <w:tcBorders/>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E32E1"/>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E32E1"/>
                  <w:sz w:val="20"/>
                  <w:u w:val="single"/>
                </w:rPr>
                <w:t>Articles of Association of Autolus Therapeutics plc (incorporated by reference to Exhibit 3.1 to our Registration Statement on Form F-1 (file no: 333-224720))</w:t>
              </w:r>
            </w:hyperlink>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7844" w:type="dxa"/>
            <w:gridSpan w:val="24"/>
            <w:tcBorders/>
          </w:tcPr>
          <w:p>
            <w:pPr>
              <w:pStyle w:val="TableContents"/>
              <w:bidi w:val="0"/>
              <w:spacing w:before="0" w:after="283"/>
              <w:jc w:val="left"/>
              <w:rPr>
                <w:sz w:val="4"/>
                <w:szCs w:val="4"/>
              </w:rPr>
            </w:pPr>
            <w:r>
              <w:rPr>
                <w:sz w:val="4"/>
                <w:szCs w:val="4"/>
              </w:rPr>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7844" w:type="dxa"/>
            <w:gridSpan w:val="24"/>
            <w:tcBorders/>
          </w:tcPr>
          <w:p>
            <w:pPr>
              <w:pStyle w:val="TableContents"/>
              <w:bidi w:val="0"/>
              <w:spacing w:before="0" w:after="283"/>
              <w:jc w:val="left"/>
              <w:rPr>
                <w:sz w:val="4"/>
                <w:szCs w:val="4"/>
              </w:rPr>
            </w:pPr>
            <w:r>
              <w:rPr>
                <w:sz w:val="4"/>
                <w:szCs w:val="4"/>
              </w:rPr>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7844" w:type="dxa"/>
            <w:gridSpan w:val="24"/>
            <w:tcBorders/>
          </w:tcPr>
          <w:p>
            <w:pPr>
              <w:pStyle w:val="TableContents"/>
              <w:bidi w:val="0"/>
              <w:spacing w:before="0" w:after="283"/>
              <w:jc w:val="left"/>
              <w:rPr>
                <w:sz w:val="4"/>
                <w:szCs w:val="4"/>
              </w:rPr>
            </w:pPr>
            <w:r>
              <w:rPr>
                <w:sz w:val="4"/>
                <w:szCs w:val="4"/>
              </w:rPr>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7844" w:type="dxa"/>
            <w:gridSpan w:val="24"/>
            <w:tcBorders/>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xautolustherapeuti.htm">
              <w:r>
                <w:rPr>
                  <w:rStyle w:val="InternetLink"/>
                  <w:rFonts w:ascii="Times New Roman;serif" w:hAnsi="Times New Roman;serif"/>
                  <w:b w:val="false"/>
                  <w:color w:val="000080"/>
                  <w:sz w:val="20"/>
                  <w:u w:val="single"/>
                </w:rPr>
                <w:t>10.1*</w:t>
              </w:r>
            </w:hyperlink>
            <w:hyperlink w:anchor="ex-101xautolustherapeuti.htm">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ex-101xautolustherapeuti.htm">
              <w:r>
                <w:rPr>
                  <w:rStyle w:val="InternetLink"/>
                  <w:rFonts w:ascii="Times New Roman;serif" w:hAnsi="Times New Roman;serif"/>
                  <w:b w:val="false"/>
                  <w:color w:val="000080"/>
                  <w:sz w:val="20"/>
                  <w:u w:val="single"/>
                </w:rPr>
                <w:t xml:space="preserve">Autolus Therapeutics plc - 2025 </w:t>
              </w:r>
            </w:hyperlink>
            <w:hyperlink w:anchor="ex-101xautolustherapeuti.htm">
              <w:r>
                <w:rPr>
                  <w:rStyle w:val="InternetLink"/>
                  <w:rFonts w:ascii="Times New Roman;serif" w:hAnsi="Times New Roman;serif"/>
                  <w:b w:val="false"/>
                  <w:color w:val="000080"/>
                  <w:sz w:val="20"/>
                  <w:u w:val="single"/>
                </w:rPr>
                <w:t>Employee Share P</w:t>
              </w:r>
            </w:hyperlink>
            <w:hyperlink w:anchor="ex-101xautolustherapeuti.htm">
              <w:r>
                <w:rPr>
                  <w:rStyle w:val="InternetLink"/>
                  <w:rFonts w:ascii="Times New Roman;serif" w:hAnsi="Times New Roman;serif"/>
                  <w:b w:val="false"/>
                  <w:color w:val="000080"/>
                  <w:sz w:val="20"/>
                  <w:u w:val="single"/>
                </w:rPr>
                <w:t>urchase Plan</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xautolustherapeuti.htm">
              <w:r>
                <w:rPr>
                  <w:rStyle w:val="InternetLink"/>
                  <w:rFonts w:ascii="Times New Roman;serif" w:hAnsi="Times New Roman;serif"/>
                  <w:b w:val="false"/>
                  <w:color w:val="000080"/>
                  <w:sz w:val="20"/>
                  <w:u w:val="single"/>
                </w:rPr>
                <w:t>10.</w:t>
              </w:r>
            </w:hyperlink>
            <w:hyperlink w:anchor="ex-102xautolustherapeuti.htm">
              <w:r>
                <w:rPr>
                  <w:rStyle w:val="InternetLink"/>
                  <w:rFonts w:ascii="Times New Roman;serif" w:hAnsi="Times New Roman;serif"/>
                  <w:b w:val="false"/>
                  <w:color w:val="000080"/>
                  <w:sz w:val="20"/>
                  <w:u w:val="single"/>
                </w:rPr>
                <w:t>2</w:t>
              </w:r>
            </w:hyperlink>
            <w:hyperlink w:anchor="ex-102xautolustherapeuti.htm">
              <w:r>
                <w:rPr>
                  <w:rStyle w:val="InternetLink"/>
                  <w:rFonts w:ascii="Times New Roman;serif" w:hAnsi="Times New Roman;serif"/>
                  <w:b w:val="false"/>
                  <w:color w:val="000080"/>
                  <w:sz w:val="20"/>
                  <w:u w:val="single"/>
                </w:rPr>
                <w:t>*</w:t>
              </w:r>
            </w:hyperlink>
            <w:hyperlink w:anchor="ex-102xautolustherapeuti.htm">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ex-102xautolustherapeuti.htm">
              <w:r>
                <w:rPr>
                  <w:rStyle w:val="InternetLink"/>
                  <w:rFonts w:ascii="Times New Roman;serif" w:hAnsi="Times New Roman;serif"/>
                  <w:b w:val="false"/>
                  <w:color w:val="000080"/>
                  <w:sz w:val="20"/>
                  <w:u w:val="single"/>
                </w:rPr>
                <w:t xml:space="preserve">Autolus Therapeutics plc - 2025 </w:t>
              </w:r>
            </w:hyperlink>
            <w:hyperlink w:anchor="ex-102xautolustherapeuti.htm">
              <w:r>
                <w:rPr>
                  <w:rStyle w:val="InternetLink"/>
                  <w:rFonts w:ascii="Times New Roman;serif" w:hAnsi="Times New Roman;serif"/>
                  <w:b w:val="false"/>
                  <w:color w:val="000080"/>
                  <w:sz w:val="20"/>
                  <w:u w:val="single"/>
                </w:rPr>
                <w:t>UK Sharesave Sub-plan</w:t>
              </w:r>
            </w:hyperlink>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7844" w:type="dxa"/>
            <w:gridSpan w:val="24"/>
            <w:tcBorders/>
          </w:tcPr>
          <w:p>
            <w:pPr>
              <w:pStyle w:val="TableContents"/>
              <w:bidi w:val="0"/>
              <w:spacing w:before="0" w:after="283"/>
              <w:jc w:val="left"/>
              <w:rPr>
                <w:sz w:val="4"/>
                <w:szCs w:val="4"/>
              </w:rPr>
            </w:pPr>
            <w:r>
              <w:rPr>
                <w:sz w:val="4"/>
                <w:szCs w:val="4"/>
              </w:rPr>
            </w:r>
          </w:p>
        </w:tc>
      </w:tr>
      <w:tr>
        <w:trPr/>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7844" w:type="dxa"/>
            <w:gridSpan w:val="24"/>
            <w:tcBorders/>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lus-10xqx06302025ex311.htm">
              <w:r>
                <w:rPr>
                  <w:rStyle w:val="InternetLink"/>
                  <w:rFonts w:ascii="Times New Roman;serif" w:hAnsi="Times New Roman;serif"/>
                  <w:b w:val="false"/>
                  <w:color w:val="0E32E1"/>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autolus-10xqx06302025ex311.htm">
              <w:r>
                <w:rPr>
                  <w:rStyle w:val="InternetLink"/>
                  <w:rFonts w:ascii="Times New Roman;serif" w:hAnsi="Times New Roman;serif"/>
                  <w:b w:val="false"/>
                  <w:color w:val="0E32E1"/>
                  <w:sz w:val="20"/>
                  <w:u w:val="single"/>
                </w:rPr>
                <w:t>Certification of Principal Executive Officer Pursuant to Rules 13a-14(a) and 15d-14(a) under the Securities Exchange Act of 1934, as Adopted Pursuant to Section 302 of the Sarbanes-Oxley Act of 2002.</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lus-10xqx06302025ex312.htm">
              <w:r>
                <w:rPr>
                  <w:rStyle w:val="InternetLink"/>
                  <w:rFonts w:ascii="Times New Roman;serif" w:hAnsi="Times New Roman;serif"/>
                  <w:b w:val="false"/>
                  <w:color w:val="0E32E1"/>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autolus-10xqx06302025ex312.htm">
              <w:r>
                <w:rPr>
                  <w:rStyle w:val="InternetLink"/>
                  <w:rFonts w:ascii="Times New Roman;serif" w:hAnsi="Times New Roman;serif"/>
                  <w:b w:val="false"/>
                  <w:color w:val="0E32E1"/>
                  <w:sz w:val="20"/>
                  <w:u w:val="single"/>
                </w:rPr>
                <w:t>Certification of Principal Financial Officer Pursuant to Rules 13a-14(a) and 15d-14(a) under the Securities Exchange Act of 1934, as Adopted Pursuant to Section 302 of the Sarbanes-Oxley Act of 2002.</w:t>
              </w:r>
            </w:hyperlink>
          </w:p>
        </w:tc>
      </w:tr>
      <w:tr>
        <w:trPr/>
        <w:tc>
          <w:tcPr>
            <w:tcW w:w="1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lus-10xqx06302025ex321.htm">
              <w:r>
                <w:rPr>
                  <w:rStyle w:val="InternetLink"/>
                  <w:rFonts w:ascii="Times New Roman;serif" w:hAnsi="Times New Roman;serif"/>
                  <w:b w:val="false"/>
                  <w:color w:val="0E32E1"/>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7" w:type="dxa"/>
            <w:gridSpan w:val="27"/>
            <w:tcBorders/>
            <w:tcMar>
              <w:top w:w="0" w:type="dxa"/>
              <w:left w:w="0" w:type="dxa"/>
              <w:bottom w:w="0" w:type="dxa"/>
              <w:right w:w="0" w:type="dxa"/>
            </w:tcMar>
            <w:vAlign w:val="center"/>
          </w:tcPr>
          <w:p>
            <w:pPr>
              <w:pStyle w:val="TableContents"/>
              <w:bidi w:val="0"/>
              <w:spacing w:lineRule="auto" w:line="240" w:before="0" w:after="0"/>
              <w:jc w:val="both"/>
              <w:rPr/>
            </w:pPr>
            <w:hyperlink w:anchor="autolus-10xqx06302025ex321.htm">
              <w:r>
                <w:rPr>
                  <w:rStyle w:val="InternetLink"/>
                  <w:rFonts w:ascii="Times New Roman;serif" w:hAnsi="Times New Roman;serif"/>
                  <w:b w:val="false"/>
                  <w:color w:val="0E32E1"/>
                  <w:sz w:val="20"/>
                  <w:u w:val="single"/>
                </w:rPr>
                <w:t>Certification of Principal Executive Officer and Principal Financial Officer Pursuant to 18 U.S.C. Section 1350, as Adopted Pursuant to Section 906 of the Sarbanes-Oxley Act of 2002.</w:t>
              </w:r>
            </w:hyperlink>
          </w:p>
        </w:tc>
      </w:tr>
    </w:tbl>
    <w:tbl>
      <w:tblPr>
        <w:tblW w:w="8059" w:type="dxa"/>
        <w:jc w:val="left"/>
        <w:tblInd w:w="0" w:type="dxa"/>
        <w:tblLayout w:type="fixed"/>
        <w:tblCellMar>
          <w:top w:w="28" w:type="dxa"/>
          <w:left w:w="28" w:type="dxa"/>
          <w:bottom w:w="28" w:type="dxa"/>
          <w:right w:w="28" w:type="dxa"/>
        </w:tblCellMar>
      </w:tblPr>
      <w:tblGrid>
        <w:gridCol w:w="348"/>
        <w:gridCol w:w="304"/>
        <w:gridCol w:w="308"/>
        <w:gridCol w:w="109"/>
        <w:gridCol w:w="109"/>
        <w:gridCol w:w="109"/>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350"/>
      </w:tblGrid>
      <w:tr>
        <w:trPr/>
        <w:tc>
          <w:tcPr>
            <w:tcW w:w="34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4549" w:type="dxa"/>
            <w:gridSpan w:val="18"/>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031" w:type="dxa"/>
            <w:gridSpan w:val="24"/>
            <w:tcBorders/>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2"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345" w:before="0" w:after="0"/>
        <w:jc w:val="left"/>
        <w:rPr/>
      </w:pPr>
      <w:hyperlink w:anchor="i962484701a6d4c4ba5ff52e1fdcb73b0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055"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237"/>
        <w:gridCol w:w="237"/>
        <w:gridCol w:w="237"/>
        <w:gridCol w:w="307"/>
        <w:gridCol w:w="307"/>
        <w:gridCol w:w="307"/>
        <w:gridCol w:w="1539"/>
        <w:gridCol w:w="1539"/>
        <w:gridCol w:w="2292"/>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Autolus Therapeutics plc</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9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Christian Itin, Ph.D.</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Itin, Ph.D.</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(On Behalf of the Registrant and as Principal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2025</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Dolski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Dolski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101xautolustherapeuti.htm"/>
      <w:bookmarkStart w:id="1" w:name="ksex101xautolustherapeuti"/>
      <w:bookmarkEnd w:id="0"/>
      <w:bookmarkEnd w:id="1"/>
      <w:r>
        <w:rPr/>
        <w:drawing>
          <wp:inline distT="0" distB="0" distL="0" distR="0">
            <wp:extent cx="10048875" cy="13001625"/>
            <wp:effectExtent l="0" t="0" r="0" b="0"/>
            <wp:docPr id="5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jc w:val="center"/>
        <w:rPr>
          <w:color w:val="FFFFFF"/>
          <w:sz w:val="2"/>
        </w:rPr>
      </w:pPr>
      <w:r>
        <w:rPr>
          <w:color w:val="FFFFFF"/>
          <w:sz w:val="2"/>
        </w:rPr>
        <w:t xml:space="preserve">303197006 v5 Exhibit 10.1 AUTOLUS THERAPEUTICS PLC 2025 EMPLOYEE SHARE PURCHASE PLAN ADOPTED BY THE BOARD OF DIRECTORS: MAY 20, 2025 APPROVED BY THE SHAREHOLDERS: JUNE 26, 2025 1. GENERAL; PURPOSE. (a) The Plan provides a means by which Eligible Employees of the Company and certain Designated Companies may be given an opportunity to purchase Shares.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(b)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(c) The Company, by means of the Plan, seeks to retain the services of Eligible Employees, to secure and retain the services of new Employees and to provide incentives for such persons to exert maximum efforts for the success of the Company and its Related Corporations. 2. ADMINISTRATION. (a) The Board will administer the Plan unless and until the Board delegates administration of the Plan to a Committee or Committees, as provided in Section 2(c). References herein to the Board shall be deemed to refer to the Committee except where context dictates otherwise. (b) The Board will have the power, subject to, and within the limitations of, the express provisions of the Plan: (i) To determine how and when Purchase Rights will be granted and the provisions of each Offering (which need not be identical). (ii) To designate from time to time (A) which Related Corporations of the Company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2 (iii)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(iv) To settle all controversies regarding the Plan and Purchase Rights granted under the Plan. (v) To suspend or terminate the Plan at any time as provided in Section 11(b). (vi) To amend the Plan at any time as provided in Section 11(b). (vii) 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 (viii) To adopt such rules, procedures and sub-plans as are necessary or appropriate to permit or facilitate participation in the Plan by, or take advantage of specific tax treatment for Purchase Rights or similar awards granted to,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setting the purchase price of Shares acquired pursuant to Purchase Rights,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(c)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(d) All determinations, interpretations and constructions made by the Board in good faith will not be subject to review by any person and will be final, binding and conclusive on all persons. 3. SHARES SUBJECT TO THE PLAN. (a) Subject to the provisions of Section 11(a) relating to Capitalization Adjustments, the maximum number of Shares that may be issued under the Plan will not exceed 3,000,000 (three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3 Shares. For the avoidance of doubt, up to the maximum number of Shares reserved under this Section 3(a) may be used to satisfy purchases of Shares under the 423 Component and any remaining portion of such maximum number of Shares may be used to satisfy purchases of Shares under the Non-423 Component. (b) If any Purchase Right granted under the Plan terminates without having been exercised in full, the Shares not purchased under such Purchase Right will again become available for issuance under the Plan. (c) The shares purchasable under the Plan will be new Shares, market purchase or treasury shares. 4. GRANT OF PURCHASE RIGHTS; OFFERING. (a)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7(f), inclusive. (b) If a Participant has more than one Purchase Right outstanding under the Plan, unless such Participant otherwise indicates in forms delivered to the Company or a third party designated by the Company (each, a “Company Designee”):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(c) The Board will have the discretion to structure an Offering so that if the Fair Market Value of a Share on the first Trading Day of a new Purchase Period within that Offering is less than or equal to the Fair Market Value of a Share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5. ELIGIBILITY. (a)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4 calendar year or such other criteria as the Board may determine consistent with Section 423 of the Code with respect to the 423 Component. The Board may also exclude (unless prohibited by Applicable Law) from participation in the Plan or any Offering Employees who are “highly compensated employees” (within the meaning of Section 423(b)(4)(D) of the Code) of the Company, a Related Corporation or an Affiliate, or a subset of such highly compensated employees. (b)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(i) the date on which such Purchase Right is granted will be the “Offering Date” of such Purchase Right for all purposes, including determination of the exercise price of such Purchase Right; (ii) the period of the Offering with respect to such Purchase Right will begin on its Offering Date and end coincident with the end of such Offering; and (iii) the Board may provide that if such person first becomes an Eligible Employee within a specified period of time before the end of the Offering, such individual will not receive any Purchase Right under that Offering. (c) No Employee will be eligible for the grant of any Purchase Rights under the 423 Component if, immediately after any such Purchase Rights are granted, such Employee owns securities possessing five percent or more of the total combined voting power or value of all classes of shares of the Company or of any Related Corporation. For purposes of this Section 5(c), the rules of Section 424(d) of the Code will apply in determining the security ownership of any Employee, and securities which such Employee may purchase under all outstanding Purchase Rights and options will be treated as securities owned by such Employee. (d)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securities of the Company or any Related Corporation to accrue at a rate which, when aggregated, exceeds twenty-five thousand U.S. Dollars ($25,000) of Fair Market Value of such securities (determined at the time such rights are granted, and which, with respect to the Plan, will be determined as of their respective Offering Dates) for each calendar year in which such rights are outstanding at any time. (e)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(f)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5 6. PURCHASE RIGHTS; PURCHASE PRICE. (a) On each Offering Date, each Eligible Employee, pursuant to an Offering made under the Plan, will be granted a Purchase Right to purchase up to that number of Shares purchasable either with a percentage of earnings (as defined by the Board in each Offering) or with a maximum amount (in U.S. Dollars),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 (b) The Board will establish one or more Purchase Dates during an Offering on which Purchase Rights granted for that Offering will be exercised and Shares will be purchased in accordance with such Offering. (c) In connection with each Offering made under the Plan, the Board may specify (i) a maximum number of Shares that may be purchased by any Participant on any Purchase Date during such Offering, (ii) a maximum aggregate number of Shares that may be purchased by all Participants pursuant to such Offering and/or (iii) a maximum aggregate number of Shares that may be purchased by all Participants on any Purchase Date under the Offering. If the aggregate purchase of Shares issuable upon exercise of Purchase Rights granted under the Offering would exceed any such maximum aggregate number, then, in the absence of any Board action otherwise, a pro rata (based on each Participant’s accumulated Contributions) allocation of the Shares (rounded down to the nearest whole share) available will be made in as nearly a uniform manner as will be practicable and equitable. (d) The purchase price of Shares acquired pursuant to Purchase Rights will be no less than the lesser of: (i) an amount equal to 85% of the Fair Market Value of the Shares on the Offering Date; or (ii) an amount equal to 85% of the Fair Market Value of the Shares on the applicable Purchase Date. 7. PARTICIPATION; WITHDRAWAL; TERMINATION. (a)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6 (b) 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without interest (unless the payment of interest is otherwise required by Applicable Law)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 (c) 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 without interest (unless the payment of interest is otherwise required by Applicable Law). (d)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 (e) 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0. (f) Unless otherwise specified in the Offering or as required by Applicable Law, the Company will have no obligation to pay interest on Contributions. 8. EXERCISE OF PURCHASE RIGHTS. (a) On each Purchase Date, each Participant’s accumulated Contributions will be applied to the purchase of Shares, up to the maximum number of Shares permitted by the Plan and the applicable Offering, at the purchase price specified in the Offering. No fractional shares will be issued unless specifically provided for in the Offering. (b) Unless otherwise provided in the Offering, if any amount of accumulated Contributions remains in a Participant’s account after the purchase of Shares and such remaining amount is less than the amount required to purchase one Share on the final Purchase Date of an Offering, then such remaining amount will be held in such Participant’s account for the purchase of Shares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7 remaining in a Participant’s account after the purchase of Shares is at least equal to the amount required to purchase one (1) whole Share on the final Purchase Date of an Offering, then such remaining amount will be distributed in full to such Participant after the final Purchase Date of such Offering without interest (unless otherwise required by Applicable Law). (c) No Purchase Rights may be exercised to any extent unless the Shares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are not so registered or the Plan is not in such compliance, no Purchase Rights will be exercised on such Purchase Date, and, subject to Section 423 of the Code with respect to the 423 Component, the Purchase Date will be delayed until the Shares are subject to such an effective registration statement and the Plan is in material compliance, except that the Purchase Date will in no event be more than 27 months from the Offering Date. If, on the Purchase Date, as delayed to the maximum extent permissible, the Shares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 9. COVENANTS OF THE COMPANY. The Company will seek to obtain from each U.S. federal or state, foreign or other regulatory commission, agency or other Governmental Body having jurisdiction over the Plan such authority as may be required to grant Purchase Rights and issue and sell Shares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Shares under the Plan, and at a commercially reasonable cost, the Company will be relieved from any liability for failure to grant Purchase Rights and/or to issue and sell Shares upon exercise of such Purchase Rights. 10. DESIGNATION OF BENEFICIARY. (a) The Company may, but is not obligated to, permit a Participant to submit a form designating a beneficiary who will receive any Shares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(b) If a Participant dies, and in the absence of a valid beneficiary designation, the Company will deliver any Shares and/or Contributions to the executor or administrator of the estate of the Participant. If no executor or administrator has been appointed (to the knowledge of the Company), the Company, in its sole discretion, may deliver such Shares and/or Contributions, without interest (unless the payment of interest is otherwise required by Applicable Law), to the Participant’s spouse, dependents or relatives, or if no spouse, dependent or relative is known to the Company, then to such other person as the Company may designate. 11. ADJUSTMENTS UPON CHANGES IN CAPITALIZATION; CORPORATE TRANSACTIONS. (a) In the event of a Capitalization Adjustment, the Board will appropriately and proportionately adjust: (i) the class(es) and maximum number of securities subject to the Plan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8 Section 3(a), (ii) the class(es) and number of securities subject to, and the purchase price applicable to outstanding Offerings and Purchase Rights, and (iii) the class(es) and number of securities that are the subject of the purchase limits under each ongoing Offering. The Board will make these adjustments, and its determination will be final, binding and conclusive. (b)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shareholders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(rounded down to the nearest whole share) within ten business days (or such other period specified by the Board) prior to the Corporate Transaction under the outstanding Purchase Rights, and the Purchase Rights will terminate immediately after such purchase. 12. AMENDMENT, TERMINATION OR SUSPENSION OF THE PLAN. (a) The Board may amend the Plan at any time in any respect the Board deems necessary or advisable. However, except as provided in Section 11(a) relating to Capitalization Adjustments, shareholder approval will be required for any amendment of the Plan for which shareholder approval is required by Applicable Law. (b) The Board may suspend or terminate the Plan at any time. No Purchase Rights may be granted under the Plan while the Plan is suspended or after it is terminated. (c)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Adoption Date,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Shares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9 13. TAX QUALIFICATION; TAX WITHHOLDING. (a)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(b) 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acquired under the Plan, either through a voluntary sale or a mandatory sale arranged by the Company; or (iii) any other method deemed acceptable by the Board. The Company shall not be required to issue any Shares under the Plan until such obligations are satisfied. (c) 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 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14. EFFECTIVE DATE OF PLAN. The Plan will become effective on the Effective Date. No Purchase Rights will be exercised unless and until the Plan has been approved by the shareholders of the Company, which approval must be within 12 months before or after the Adoption Date (or if required under Section 12(a) above, materially amended) by the Board. 15. MISCELLANEOUS PROVISIONS. (a) Proceeds from the sale of Shares pursuant to Purchase Rights will constitute general funds of the Company. (b) A Participant will not be deemed to be the holder of, or to have any of the rights of a holder with respect to, Shares subject to Purchase Rights unless and until the Participant’s Shares acquired upon exercise of Purchase Rights are recorded in the books of the Company (or its transfer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10 (c) The Plan and Offering do not constitute an employment contract. Nothing in the Plan or in the Offering will in any way alter the nature (whether at-will or otherwise)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 (d) The Plan and all Purchase Rights, including any non-contractual obligations arising in connection therewith, will be governed by and interpreted in accordance with the laws of England and Wales, disregarding any jurisdiction’s choice-of-law principles requiring the application of a jurisdiction’s laws other than that of England and Wales and the courts of England and Wales shall have exclusive jurisdiction to hear any dispute. (e) If any particular provision of the Plan is found to be invalid or otherwise unenforceable, such provision will not affect the other provisions of the Plan, but the Plan will be construed in all respects as if such invalid provision were omitted. (f) A person who is not a party to the Purchase Rights shall not have any rights under or in connection with it as a result of the Contracts (Rights of Third Parties) Act 1999 except where such rights arise under any provision of the Plan for any employer or former employer of the Participant which is not a party. This paragraph does not affect any right or remedy of a third party which exists, or is available, apart from the Contracts (Rights of Third Parties) Act 1999. (g) If any provision of the Plan does not comply with Applicable Law, such provision shall be construed in such a manner as to comply with Applicable Law. 16. DEFINITIONS. As used in the Plan, the following definitions will apply to the capitalized terms indicated below: (a) “423 Component” means the part of the Plan, which excludes the Non-423 Component, pursuant to which Purchase Rights that satisfy the requirements for an Employee Stock Purchase Plan may be granted to Eligible Employees. (b) “Adoption Date” means May 20, 2025 which is the date the Plan was adopted by the Board. (c) “ADSs” means American Depositary Shares, each representing one Ordinary Share on deposit with a U.S. banking institution selected by the Company and which are registered pursuant to a Form F-6. (d) “Affiliate”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(e) “Applicable Law”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11 (f) “Board” means the Board of Directors of the Company. (g) “Capitalization Adjustment” means a nonreciprocal transaction between the Company and its shareholders, such as a share dividend, share split, spin-off, rights offering or recapitalization through a large, nonrecurring cash dividend, that affects the number or kind of Shares (or other Company securities) or the price of Shares (or other Company securities) and causes a change in the per share value of the Shares underlying outstanding Purchase Rights. (h) “Code” means the U.S. Internal Revenue Code of 1986, as amended, including any applicable regulations and guidance thereunder. (i) “Committee” means a committee of one or more members of the Board to whom authority has been delegated by the Board in accordance with Section 2(c). (j) “Company” means Autolus Therapeutics plc, a company incorporated in England and Wales with company number 11185179 and its registered address at The Mediaworks 191 Wood Lane, London, England, W12 7FP, or any successor. (k) “Contributions”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 (l) “Control” has the meaning given in section 995(2) of the UK Income Tax Act 2007, unless otherwise specified. (m) “Corporate Transaction” means and includes each of the following events: (i) a Sale; or (ii) a Takeover. The Board shall have full and final authority, which shall be exercised in its sole discretion, to determine conclusively whether a Corporate Transaction has occurred pursuant to the above definition, the date of the occurrence of such Corporate Transaction and any incidental matters relating thereto. (n) “Designated 423 Company” means any Related Corporation selected by the Board as participating in the 423 Component. (o) “Designated Company” means any Designated Non-423 Company or Designated 423 Company, provided, however, that at any given time, a Related Corporation participating in the 423 Component shall not be a Related Corporation participating in the Non-423 Component. (p) “Designated Non-423 Company” means any Related Corporation or Affiliate selected by the Board as participating in the Non-423 Component. (q) “Director” means a member of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12 (r) “Effective Date” means the effective date of this Plan document, which is the date of the general meeting of the shareholders of the Company held on June 26, 2025, provided that this Plan is approved by the Company’s shareholders at such meeting. (s) “Eligible Employee” means an Employee who meets the requirements set forth in the document(s) governing the Offering for eligibility to participate in the Offering, provided that such Employee also meets the requirements for eligibility to participate set forth in the Plan. (t) “Employee”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(u) “Employee Stock Purchase Plan” means a plan that grants Purchase Rights intended to be options issued under an “employee stock purchase plan,” as that term is defined in Section 423(b) of the Code. (v) “Exchange Act” means the U.S. Securities Exchange Act of 1934, as amended and the rules and regulations promulgated thereunder. (w) “Fair Market Value” means, as of any date, the value of the Shares determined as follows: (i) If the Shares are listed on any established stock exchange or traded on any established market, the Fair Market Value of a Share will be, unless otherwise determined by the Board, the closing sales price for such Share as quoted on such exchange or market (or the exchange or market with the greatest volume of trading in the Shares) on the date of determination, as reported in such source as the Board deems reliable. Unless otherwise provided by the Board, if there is no closing sales price for the Shares on the date of determination, then the Fair Market Value will be the closing sales price on the last preceding date for which such quotation exists. (ii) In the absence of such markets for the Shares, the Fair Market Value will be determined by the Board in good faith in compliance with Applicable Laws and regulations and, to the extent applicable as determined in the sole discretion of the Board, in a manner that complies with Sections 409A of the Code. (iii) If such Fair Market Value is in a currency other than U.S. Dollars, it shall be converted into U.S. Dollars using the exchange rate as reported in a source the Board deems reliable. (x) “Governmental Body”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AIM, the New York Stock Exchange, the NASDAQ Stock Market and the Financial Industry Regulatory Authority). (y) “Non-423 Component” means the part of the Plan, which excludes the 423 Component, pursuant to which Purchase Rights that are not intended to satisfy the requirements for an Employee Stock Purchase Plan may be granted to Eligible Employees.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13 (z) “Offering” means the grant to Eligible Employees of Purchase Rights, with the exercise of those Purchase Rights automatically occurring at the end of one or more Purchase Periods. The terms and conditions of an Offering will generally be set forth in the “Offering Document” approved by the Board for that Offering. (aa) “Offering Date” means a date selected by the Board for an Offering to commence. (bb) “Officer” means a person who is an officer of the Company or a Related Corporation within the meaning of Section 16 of the Exchange Act. (cc) “Ordinary Share” means an ordinary share of US$0.000042 (each as sub-divided or consolidated from time to time) in the capital of the Company. (dd) “Participant” means an Eligible Employee who holds an outstanding Purchase Right. (ee) “Plan” means this Autolus Therapeutics plc 2025 Employee Share Purchase Plan, as amended from time to time, including both the 423 Component and the Non-423 Component. (ff) “Purchase Date” means one or more dates during an Offering selected by the Board on which Purchase Rights will be exercised and on which purchases of Shares will be carried out in accordance with such Offering. (gg) “Purchase Period” means a period of time specified within an Offering, generally beginning on the Offering Date or on the first Trading Day following a Purchase Date, and ending on a Purchase Date. An Offering may consist of one or more Purchase Periods. (hh) “Purchase Right” means an option to purchase Shares granted pursuant to the Plan. (ii) “Related Corporation” means any “parent corporation” or “subsidiary corporation” of the Company whether now or subsequently established, as those terms are defined in Sections 424(e) and (f), respectively, of the Code. (jj) “Sale” means the sale of all or substantially all of the assets of the Company. (kk) “Securities Act” means the U.S. Securities Act of 1933, as amended. (ll) “Share” means an Ordinary Share or the number of ADSs equal to a Share. (mm) “Takeover” means if any person (or a group of persons acting in concert) (the “Acquiring Person”): (i) obtains Control of the Company as the result of making a general offer to: 1. acquire all of the issued Share capital of the Company, which is made on a condition that, if it is satisfied, the Acquiring Person will have Control of the Company; or 2. acquire all of the shares in the Company which are of the same class as the Shares;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303197006 v5 14 (ii) obtains Control of the Company as a result of a compromise or arrangement sanctioned by a court under Section 899 of the UK Companies Act 2006, or sanctioned under any other similar law of another jurisdiction; or (iii) becomes bound or entitled under Sections 979 to 985 of the UK Companies Act 2006 (or similar law of another jurisdiction) to acquire shares of the same class as the Shares; or (iv) obtains Control of the Company in any other way. (nn) “Tax-Related Items” means any income tax, social insurance, payroll tax, fringe benefit tax, payment on account or other tax-related items arising out of or in relation to a Participant’s participation in the Plan, including, but not limited to, the exercise of a Purchase Right and the receipt of Shares or the sale or other disposition of Shares acquired under the Plan. (oo) “Trading Day” means any day on which the exchange(s) or market(s) on which Shares are listed, including but not limited to the New York Stock Exchange, Nasdaq Global Select Market, the Nasdaq Global Market, the Nasdaq Capital Market or any successors thereto, is open for trading.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102xautolustherapeuti.htm"/>
      <w:bookmarkStart w:id="3" w:name="ksex102xautolustherapeuti"/>
      <w:bookmarkEnd w:id="2"/>
      <w:bookmarkEnd w:id="3"/>
      <w:r>
        <w:rPr/>
        <w:drawing>
          <wp:inline distT="0" distB="0" distL="0" distR="0">
            <wp:extent cx="9191625" cy="13001625"/>
            <wp:effectExtent l="0" t="0" r="0" b="0"/>
            <wp:docPr id="6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5"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10.2 AUTOLUS THERAPEUTICS PLC UK SHARESAVE SUB-PLAN TO THE AUTOLUS THERAPEUTICS PLC 2025 EMPLOYEE SHARE PURCHASE PLAN Adopted by the Board on May 20, 2025 Registered with HM Revenue &amp; Customs on ______________ under number 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6"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CONTENTS Clause Page 1. INTERPRETATION....................................................................................................................... 1 2. PERIOD OF OPERATION OF THE PLAN .................................................................................. 4 3. ISSUE OF INVITATIONS ............................................................................................................. 4 4. BOARD DECISIONS REGARDING ISSUE OF INVITATIONS................................................ 5 5. INVITATIONS MUST BE ISSUED TO ALL ELIGIBLE EMPLOYEES ................................... 5 6. CONTENT OF INVITATIONS TO APPLY FOR OPTIONS ....................................................... 5 7. APPLICATIONS FOR OPTIONS ................................................................................................. 6 8. EXPECTED REPAYMENT MUST EQUAL AGGREGATE EXERCISE PRICE ...................... 6 9. SCALING DOWN .......................................................................................................................... 7 10. GRANT OF OPTIONS ................................................................................................................... 7 11. OPTION CERTIFICATES ............................................................................................................. 8 12. OVERALL LIMITS ON GRANTS ................................................................................................ 9 13. EXERCISE OF OPTIONS: GENERAL RULES ........................................................................... 9 14. EXERCISE AFTER PLAN-RELATED EMPLOYMENT ENDS ................................................. 9 15. EXERCISE AFTER THE OPTION HOLDER'S DEATH ........................................................... 10 16. LAPSE OF OPTIONS .................................................................................................................. 11 17. EXERCISE OF OPTIONS: PROCESS ........................................................................................ 11 18. RELATIONSHIP WITH EMPLOYMENT CONTRACT ........................................................... 12 19. EXERCISE OF OPTIONS ON TAKEOVER OR OTHER CORPORATE EVENT ................... 13 20. ROLLOVER OF OPTIONS ......................................................................................................... 15 21. VARIATION OF SHARE CAPITAL .......................................................................................... 16 22. NOTICES ...................................................................................................................................... 16 23. ADMINISTRATION AND AMENDMENT ............................................................................... 17 24. GOVERNING LAW ..................................................................................................................... 18 25. JURISDICTION ........................................................ ERROR! BOOKMARK NOT DEFINED. 26. THIRD PARTY RIGHTS ............................................................................................................. 18 27. DATA PRIVACY .........................................................................................................................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7"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 AUTOLUS THERAPEUTICS PLC 2025 EMPLOYEE SHARE PURCHASE PLAN: UK SHARESAVE SUB-PLAN 1. Interpretation 1.1 The following definitions and rules of interpretation apply in the Plan. “Adoption Date” means the later of the date of the adoption of the Plan by the Board and the date of shareholder approval of the ESPP. “ADSs” means American Depositary Shares, each representing one Share on deposit with a U.S. banking institution selected by the Company and which are registered pursuant to a Form F-6. “Applicable Laws” means any applicable law, including without limitation: (a) the requirements relating to the administration of equity incentive plans under U.S. federal and state securities, tax and other applicable laws, rules and regulations, the applicable rules of any stock exchange or quotation system on which the Shares are listed or quoted and the applicable laws and rules of any foreign country or other jurisdiction where Options are granted; and (b) corporate, securities, tax or other laws, statutes, rules, requirements or regulations, whether U.S. federal, state, local or foreign, applicable in the United Kingdom, United States or any other relevant jurisdiction. “Associated Company” has the meaning given in paragraph 47 of Schedule 3. “Board” means the board of directors of the Company or a committee of directors appointed by that board to carry out any of its functions under the Plan. “Bonus Date” means the earliest date on which a bonus is payable under the relevant Savings Contract. “Business Day” means a day other than a Saturday, Sunday or public holiday in England when banks in London are open for business. “Company” means Autolus Therapeutics plc a company incorporated in England and Wales with company number 11185179 and its registered address at The Mediaworks 191 Wood Lane, London, England, W12 7FP, or any successor. “Constituent Company” means any of the following: (a) the UK Company; and (b) any Eligible Company specified by the Board (at the relevant time) to be a Constituent Company. “Control” has the meaning given in section 719 of ITEPA 2003. “Eligible Company” means any company of which the Company has Control. “Eligible Employee” means a person who satisfies the following conditions: (a) is an employee (but not a director) of a Constituent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8"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2 (b) is an executive director of a Constituent Company who is required to devote at least 25 hours per week (excluding meal breaks) to their duties; (c) has earnings from the office or employment within (a) or (b) above that are general earnings (or would be, if there were any) subject to section 15 of ITEPA 2003; (d) on the relevant Grant Date, meets any qualifying period of continuous service with an Eligible Company (not exceeding five years before the Grant Date) that the Board may from time to time specify under rule 0; (e) any other employee or executive director of a Constituent Company who is nominated to participate by the Board. “ESPP” means the Autolus Therapeutics plc 2025 Employee Share Purchase Plan, of which this Plan is a sub-plan. “Exercise Price” means the price (which shall be denominated in pounds sterling, converted from U.S. Dollars using the USD:GBP exchange rate on the relevant Invitation Date (or such other date that HMRC has agreed can be used to determine the Exercise Price) as shown in the Wall Street Journal) at which each Share subject to an Option may be acquired on the exercise of that Option, which (subject to rule 21) may not be less than 80% of the Market Value of a Share on the relevant Invitation Date. “Expected Repayment” means: (a) in relation to any Option for which the Repaid Amount under the linked Savings Contract will be taken as including a bonus, the aggregate of the maximum amount of contributions repayable under the Savings Contract and the amount of any bonus and/or interest payable under the Savings Contract at the Bonus Date; and (b) in relation to any Option for which the Repaid Amount under the linked Savings Contract will be taken not to include any bonus, the maximum amount of contributions repayable under the Savings Contract. “Grant Date” means the date on which an Option is granted under the Plan. “HMRC” means HM Revenue &amp; Customs. “Invitation Date” means a date on which invitations to apply for Options are, were, or are to be issued under the Plan. “ITEPA 2003” means the Income Tax (Earnings and Pensions) Act 2003. “Key Feature” has the meaning given in paragraph 40B(8) of Schedule 3. “Market Value” means the market value determined in accordance with the applicable provisions of Part VIII of the Taxation of Chargeable Gains Act 19921, and any relevant published HMRC guidance, on the relevant date. If Shares are subject to a Relevant Restriction, Market Value shall be determined as if they were not subject to a Relevant Restriction. 1 This means: (i) on any day the Exchange is open, the lower of the two prices shown in the Stock Exchange Daily Official List, as the closing price of the shares on that day plus one half of the difference between those two figures, and (ii) on any day the Exchange is closed, the value on the latest previous day on which it was open.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9"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3 “Option” means a right to acquire Shares granted under the Plan. “Option Certificate” means a certificate setting out the terms of an Option. “Option Holder” means an individual who holds an Option. “Ordinary Share” means an ordinary shares of US$0.000042 (each as sub-divided or consolidated from time to time) in the capital of the Company (subject to rule 21) that meet the requirements of paragraphs 18 to 20 and paragraph 22 of Schedule 3. “Personal Data” means any personal information which could identify an Eligible Employee or Option Holder. “Plan” means this UK Sharesave Sub-Plan to the ESPP, as amended from time to time. “Redundancy” means has the meaning given by the Employment Rights Act 1996. “Relevant Restriction” means a provision included in any contract, agreement, arrangement or condition to which any of sections 423(2), 423(3) and 423(4) of ITEPA 2003 would apply if references in those sections to employment-related securities were references to Shares. “Repaid Amount” means the amount received by way of repayments of contributions and payments of bonus or interest (if any) under the Savings Contract linked to the relevant Option. The Repaid Amount will not include the amount of any bonus, if the Board decides that it will not under rule 14.1 and notifies this to Option Holders at the Grant Date under rule 10.4. “Rollover Period” means any period during which Options may be exchanged for options over shares in another company under paragraph 38 of Schedule 3. “Savings Arrangement” means a certified SAYE savings arrangement (as defined in section 703 of the Income Tax (Trading and Other Income) Act 2005) that is nominated by the Board and by an officer of HMRC for the purposes of Schedule 3. “Savings Contract” means a savings contract under a Savings Arrangement. “SAYE Code” has the meaning given in section 516(3) of ITEPA 2003. “Schedule 3” means Schedule 3 to ITEPA 2003. “Schedule 3 SAYE option scheme” means a scheme that meets the requirements of Schedule 3. “scheme-related Employment” means the office or employment by virtue of which a person is or was eligible to become an Option Holder. “Share Incentive Scheme” means any arrangement to provide employees and/or directors with Shares. “Share” means an Ordinary Share or the number of ADSs equal to an Ordinary Share. “Taxable Year” means either: (a) the calendar year;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0"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4 (b) if it ends later than the relevant calendar year, the 12 month period for which the company that employs the Option Holder is obliged to pay tax. “UK Company” means Autolus Limited, a company incorporated in England and Wales with company number 09115837 and its registered address at The Mediaworks 191 Wood Lane, London, England, W12 7FP. 1.2 Rule headings shall not affect the interpretation of the Plan. 1.3 Unless the context otherwise requires, words in the singular shall include the plural and in the plural shall include the singular. 1.4 Unless the context otherwise requires, a reference to one gender shall include a reference to the other genders. 1.5 A reference to a statute or statutory provision is a reference to it as amended, extended or re- enacted from time to time. 1.6 A reference to a statute or statutory provision shall include all subordinate legislation made from time to time under that statute or statutory provision. 1.7 A reference to writing or written includes fax and email. 1.8 Any obligation on a party not to do something includes an obligation not to allow that thing to be done. 1.9 A reference to the Plan or to any other agreement or document referred to in the Plan is a reference to the Plan or such other agreement or document as varied or novated (in each case, other than in breach of the provisions of the Plan) from time to time. 1.10 References to rules are to the rules of the Plan. 1.11 Any words following the terms including, include, in particular, for example or any similar expression shall be construed as illustrative and shall not limit the sense of the words, description, definition, phrase or term preceding those terms. 2. Period of operation of the Plan Invitations to participate in the Plan may only be issued between: (a) the Adoption Date; and (b) the tenth anniversary of the Adoption Date. 3. Issue of invitations 3.1 Subject to rule 2 invitations to apply for Options may be issued at any time. 3.2 Invitations to apply for Options must not be issued at any time if it would be in breach of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1"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5 4. Board decisions regarding issue of invitations On each occasion that the Board decides to issue invitations to apply for Options, the Board must also decide: (a) whether or not Repaid Amounts will be taken to include a bonus; (b) whether to invite applications for three-year Options or five-year Options (or Options of such other standard periods as may then be available under the HM Treasury specifications for certified savings arrangements), or to offer a choice between those Option periods; (c) the minimum monthly contribution to be made under a Savings Contract linked to any Option granted as a result of the invitations. This must be between £5 and £10 (or any other minimum or maximum amounts specified in the HM Treasury specifications or Schedule 3 from time to time); (d) the maximum number, if any, of Shares over which Options may be granted on this occasion; (e) the minimum qualifying period of service, if any, with an Eligible Company for the purposes of defining who will be an Eligible Employee. This may not be longer than five years or any other maximum period then specified in paragraph 6(2)(b) of Schedule 3. 5. Invitations must be issued to all Eligible Employees On each occasion that the Board decides to issue invitations to apply for Options, those invitations must be sent to all Eligible Employees. 6. Content of invitations to apply for Options 6.1 Invitations to apply for Options must be in a form approved by the Board and must: (a) comply with rule 6.2; (b) include or be accompanied by invitations to apply to enter into appropriate Savings Contracts; and (c) include a statement that each invitation is subject to these rules, the relevant Savings Contract prospectus and the SAYE Code and that those provisions will prevail over any conflicting statement. 6.2 Each invitation must specify (without limitation): (a) the minimum monthly contribution determined by the Board under rule 14.3; (b) the Exercise Price, or the method by which that Exercise Price will be notified to Eligible Employees; (c) whether Repaid Amounts will be taken to include a bonus; (d) whether applications may be made for three-year Options or five-year Options (or Options of such other standard periods as may then be available under the HM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2"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6 Treasury savings arrangement specifications) or whether there is a choice between those Option periods; (e) any limit on the number of Shares that may be placed under Option under rule 14.4, and, if there is such a limit, that applications will be scaled down in accordance with rule 9 if applications are received in excess of the limit; (f) that, to be considered for the grant of Options, completed applications should be received by the Board, or any person nominated to receive applications on behalf of the Board, by 5pm on the day falling 14 days after the Invitation Date; and (g) any minimum qualifying period of service which applies for the purpose of determining who is an Eligible Employee. 6.3 Any accidental failure or omission to deliver an invitation to any Eligible Employee will not invalidate the grant of Options. 7. Applications for Options Each application for an Option must be in a form approved by the Board and must: (a) state the period of the Option applied for; (b) incorporate or be accompanied by a completed application form to enter into a Savings Contract, in which the applicant agrees to make a monthly contribution of a specified amount; (c) state that, when aggregated with contributions made by the applicant under any other savings contracts linked to Schedule 3 SAYE option schemes, the proposed contribution will not exceed the maximum then permitted by paragraph 25(3)(a) of Schedule 3; (d) if a limit has been specified under rule 14.4, state that, if applications are scaled down, applicants agree to the amendment or withdrawal of their applications in accordance with rule 9; (e) authorise the Company to deduct the appropriate monthly contribution from the applicant's pay and pay those deductions to the Savings Contract provider; (f) include the applicant's agreement to be bound by the terms of the Plan; and (g) state that: (i) the application is subject to these rules, the relevant Savings Contract prospectus and the SAYE Code; and (ii) those provisions will prevail over any conflicting statement. 8. Expected Repayment must equal aggregate Exercise Price 8.1 The Expected Repayment under a Savings Contract must, as nearly as possible, equal the amount required to be paid to exercise the linked Option in full.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3"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7 8.2 Each application under rule 7 will be treated as being for an Option over the largest whole number of Shares that can be acquired at the relevant Exercise Price with the Expected Repayment under the linked Savings Contract. 9. Scaling Down 9.1 If the Board has specified a limit under rule 14.4 for a particular set of invitations and, in response to those invitations, the Board receives applications for Options over a total number of Shares which exceeds that limit, the Board shall scale down applications as set out in this rule 9. 9.2 Applications for Options shall be scaled down using the first of the methods in this rule 9 that will ensure that the limit the Board has specified under rule 14.4 is not exceeded. 9.3 The methods to be used to scale down applications are as follows: (a) if Repaid Amounts were intended to be taken to include a bonus, each application will instead be treated as an application for an Option under which Repaid Amounts will not be taken to include a bonus; (b) Repaid Amounts will not be taken to include a bonus and the amount by which the monthly savings contribution specified in each application exceeds £50 will be reduced pro rata; and (c) Repaid Amounts will not be taken to include a bonus and the amount by which the monthly savings contribution specified in each application exceeds the minimum contribution amount specified under rule 14.3 will be reduced pro rata. 9.4 If scaling down cannot be achieved by any of the methods set out in rule 9.3: (a) the Board may decide not to continue with scaling down and decide instead that no Options will be granted as a result of the relevant invitations; or (b) if the Board decides to continue with scaling down, applicants will be selected by lot, and each selected applicant will be taken to apply for an Option of the shortest period and a monthly savings contribution of the minimum contribution amount that are specified in the invitation. 10. Grant of Options 10.1 An Option can only be granted to a person who is an Eligible Employee on the Grant Date. 10.2 Subject to rule 10.1 and rule 9.4, the Board must grant an Option to each person who has submitted a valid application under rule 7. 10.3 Each Option must be granted over the number of Shares for the relevant application determined in accordance with rule 8 and, if appropriate rule 9. 10.4 The Board must notify Option Holders at the Grant Date whether or not Repaid Amounts will be taken to include any bonus. This will be determined at the time of grant of each Option in accordance with: (a) the determination of the Board under rule 14.1;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4"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8 (b) if the relevant applications were scaled down, the application of rule 9. 10.5 Options must be granted: (a) unless applications were scaled down under rule 9, not later than 30 days after the earliest date by reference to which Market Value was determined for the purpose of setting the Exercise Price; and (b) if applications were scaled down under rule 9, not later than 42 days after the earliest date by reference to which Market Value was determined for the purpose of setting the Exercise Price. 10.6 Options must not be granted at any time when that grant is prohibited by, or in breach of, any Applicable Laws. 10.7 Options are granted by the Company in a manner approved by the Board. 10.8 A single grant instrument (a deed poll) may be used to grant any number of Options. 10.9 The Company must not require any amount to be paid in consideration of the grant of an Option. 11. Option Certificates 11.1 The Board must issue to each Option Holder an Option Certificate (in a form approved by the Board) as soon as possible after the Grant Date. 11.2 Each Option Certificate must set out (without limitation): (a) the Grant Date of the Option; (b) the number and class of the Shares over which the Option is granted; (c) the Exercise Price; (d) that the Option may be exercised from the Bonus Date of the Savings Contract linked to the Option, unless the Option lapses or becomes exercisable under these rules before that date; (e) that the Option will lapse on the date falling six months after the Bonus Date of the Savings Contract linked to the Option, unless it has been exercised or has lapsed under these rules before then (or a later lapse date applies under rule 16); (f) a statement that: (i) the Option is subject to these rules and the SAYE Code; (ii) those provisions prevail over any conflicting statement relating to the Option's terms; and (g) a statement specifying whether or not the Shares are subject to any Relevant Restriction and, if so, details of the Relevant Restriction.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5"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9 12. Overall limits on grants The grant of Options and the issuance of the Shares under the Plan (taken together with the number of Shares issued under the ESPP) shall be subject to the limits provided at Section 3 of the ESPP from time to time. 13. Exercise of Options: general rules 13.1 Subject to rule 13.3, rule 14 and rule 19, an Option may only be exercised: (a) when the Option Holder is an Eligible Employee; and (b) at any time within six months after the Bonus Date of the Savings Contract linked to that Option. 13.2 An Option cannot be exercised when exercise would be prohibited by Applicable Laws. 13.3 An Option Holder who is a director or employee of an Associated Company may exercise an Option at any time within six months after the Bonus Date of the Savings Contract linked to that Option. 13.4 An Option Holder who is subject to taxation in the USA (or their personal representatives) may exercise an Option under any rule of the Plan in the period ending on the 15th day of the third month following the end of the Taxable Year in which the Option first becomes exercisable (the “409A Exercise Period”), if that day falls before the date on which the relevant exercise period would otherwise end under these rules. Such Option will lapse at the end of the 409A Exercise Period (or on such earlier date that the relevant exercise period would otherwise end under these rules). 13.5 If a Repaid Amount is insufficient to exercise the Option linked to the relevant Savings Contract in full: (a) the aggregate Exercise Price paid to exercise the Option may not exceed the Repaid Amount; and (b) the number of Shares acquired on exercise of the Option may not exceed the number obtained by dividing the Repaid Amount by the Exercise Price for the Option and, if the result of that division is not a whole number, rounding it down to the nearest whole number. 14. Exercise after Plan-related Employment ends 14.1 An Option Holder who has ceased to hold Plan-related Employment for one of the reasons listed in rule 14.2 may exercise an Option at any time in the period ending on the earliest to occur of: (a) the date falling six months after the date on which the Plan-related Employment ceased; and (b) the date falling six months after the Bonus Date of the Savings Contract linked to that Option. 14.2 Options may be exercised as set out in rule 14.1 if Plan-related Employment ends for one of the following reasons: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6"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10 (a) injury; (b) disability; (c) Redundancy; (d) retirement; (e) a relevant transfer within the meaning of the Transfer of Undertakings (Protection of Employment) Regulations 2006; (f) if the Option Holder holds office or is employed in a company which is an associated company (which has the meaning given in paragraph 35(4) of Schedule 3, and not the meaning given to “Associated Company” in Rule 1.1), that company ceasing to be an associated company by reason of a change of control. For the purposes of this rule, “control” has the meaning given in section 450 to 451 of the Corporation Tax Act 2010 and not the meaning given to “Control” in Rule 1.1. 14.3 An Option Holder who ceases to hold Plan-related Employment for any reason other than one listed in rule 14.2 may exercise an Option granted more than three years before the date on which Plan-related Employment ceased at any time in the period ending on the earliest to occur of: (a) the date falling six months after the date on which the Plan-related Employment ceased; and (b) the date falling six months after the Bonus Date of the Savings Contract linked to that Option. 14.4 An Option Holder will not be treated as ceasing to hold Plan-related Employment until that Option Holder ceases to hold any office or employment with: (a) the Company; (b) any Eligible Company or other company that is controlled by the Company; or (c) any company that: (i) controls the Company; or (ii) is controlled by a person or persons who also control the Company. In this rule, “control” has the meaning given in section 450 to 451 of the Corporation Tax Act 2010 and not the meaning given to “Control” in rule 1.1. 15. Exercise after the Option Holder's death Subject to rule 13.4, an Option may be exercised by the Option Holder's personal representatives at any time in the period starting immediately after the date of death and ending: (a) if the Option Holder died before the Bonus Date of the Savings Contract linked to that Option, the date falling 12 months after the date of death;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11 (b) if the Option Holder died on or within six months after the Bonus Date of the Savings Contract linked to that Option, the date falling 12 months after that Bonus Date. 16. Lapse of Options 16.1 Options may not be transferred or assigned or have any charge or other security interest created over them. An Option will lapse if the relevant Option Holder attempts to do any of those things. The transmission of an Option to an Option Holder's personal representatives on the death of the Option Holder will not cause an Option to lapse. 16.2 An Option will lapse on the earliest of the following: (a) any attempted action by the Option Holder falling within rule 16.1; (b) the date falling six months after the Bonus Date of the Savings Contract linked to the Option, if the Option Holder is alive at that time; (c) when the Option Holder's Plan-related Employment ceases, if the Option may not then be exercised after cessation under any part of rule 13 and the Option Holder is alive at that time; (d) unless non-payment arises when the Option may be exercised under rule 14 or rule 15 or when the Option may be exercised or exchanged under rule 19, the seventh occasion on which the Option Holder omits to make a payment under the Savings Contract linked to the Option; (e) unless notice is given when the Option may be exercised under rule 14 or rule 15 or when the Option may be exercised or exchanged under rule 19, the Option Holder giving notice to terminate that Savings Contract; (f) at the end of any period during which the Option may be exercised under rule 14, unless that period ended on the Option Holder's death; (g) if the Option Holder has died: (i) before the Bonus Date of the Savings Contract linked to the relevant Option, the date falling 12 months after the date of death; or (ii) on or within six months after the Bonus Date of the Savings Contract linked to the relevant Option, the date falling 12 months after that Bonus Date; (h) the time specified for the lapse of the Option under rule 19; and (i) the bankruptcy of the Option Holder. 16.3 Where any part of rule 16.2 refers to the end of an exercise period, the end of the period must be determined without reference to rule 13.4, if it applies. 17. Exercise of Options: process 17.1 An Option may be exercised by the Option Holder giving a written exercise notice to the Company, that must: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12 (a) set out the number of Shares over which the Option Holder wishes to exercise the Option. If that number exceeds the number over which the Option may be validly exercised at the time: (i) the Option shall be treated as exercised only in respect of that lesser number; and (ii) any excess amount paid to exercise the Option must be refunded; (b) be made using a form approved by the Board; and (c) if the Company so requires, be accompanied by the relevant Option Certificate. 17.2 An exercise notice must be accompanied by a payment of an amount equal to the Exercise Price multiplied by the number of Shares specified in the notice, that is, or is derived from, the relevant Repaid Amount. If the Savings Contract provider permits, payment may take the form of a valid direction to the Savings Contract provider to repay to the Company the whole amount due to the Option Holder under the Savings Contract linked to the relevant Option. 17.3 Any exercise notice will be invalid to the extent that it is inconsistent with the Option Holder's rights and obligations under these rules and the relevant Option; 17.4 The Company may permit the Option Holder to correct any defect in an exercise notice (but is not obliged to do so). The date of any corrected exercise notice will be the date of the correction. 17.5 Shares must be allotted and issued (or transferred, as appropriate) within 30 days after a valid Option exercise, subject to the other rules of the Plan. 17.6 Except for any rights determined by reference to a date before the date of allotment, Shares allotted and issued in satisfaction of the exercise of an Option will rank equally in all respects with the other shares of the same class in issue at the date of allotment. 17.7 Shares transferred in satisfaction of the exercise of an Option must be transferred free of any lien, charge or other security interest, and with all rights attaching to them, other than any rights determined by reference to a date before the date of transfer. 17.8 If the Shares are listed or traded on any stock exchange, the Company must apply to the appropriate body for any newly issued Shares allotted on exercise of an Option to be listed or admitted to trading on that exchange. 18. Relationship with employment contract 18.1 The rights and obligations of any Option Holder under the terms of the office or employment with any company will not be affected by being an Option Holder. 18.2 The value of any benefit realised under the Plan by Option Holders will not be taken into account in determining any pension or similar entitlements. 18.3 Option Holders and the directors and employees of Constituent Companies and Associated Companies (past and present) have no rights to compensation or damages on account of any loss in respect of the Plan where such loss arises (or is claimed to arise), in whole or in part, from termination of office or employment with any company. This exclusion of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13 applies however termination of office or employment is caused and however compensation or damages may be claimed. 18.4 Option Holders and the directors and employees of Constituent Companies and Associated Companies (past and present) have no rights to compensation or damages on account of any loss in respect of the Plan (however the relevant circumstances are caused, and however compensation or damages may be claimed) where such loss arises (or is claimed to arise), in whole or in part, from: (a) any company ceasing to be a Constituent Company; (b) any company ceasing to be an Associated Company; (c) the transfer of any business from a Constituent Company to any person which is neither a Constituent Company nor an Associated Company; (d) any change to invitations made under the Plan, including any variation of their terms or timing, or their complete suspension or termination; (e) the lapse of any Option; (f) any failure by the Board to nominate an Eligible Company to be a Constituent Company; or (g) any failure by the Board to make an invitation to apply for an Option to any person who is not at the relevant time an Eligible Employee, where it is in the Board's discretion to do so. 19. Exercise of Options on takeover or other corporate event 19.1 For the purposes of rule 19 and rule 20, a Relevant Event means: (a) a person (the Controller) obtaining Control of the Company as a result of: (i) making a general offer to acquire the whole of the issued share capital of the Company (except for any capital already held by the Controller or any person connected with the Controller) that is made on a condition such that, if it is satisfied, the person making the offer will have Control of the Company; or (ii) making a general offer to acquire all the shares in the Company (except for any shares already held by the Controller or any person connected with the Controller) that are of the same class as the Shares; or (b) the court sanctioning a compromise or arrangement under section 899 of the Companies Act 2006 that is applicable to or affects: (i) all the ordinary share capital of the Company or all the shares of the same class as the shares to which the Option relates; or (ii) all the shares, or all the shares of that same class, which are held by a class of shareholders identified otherwise than by reference to their employment or directorships or their participation in a Schedule 3 SAYE option scheme;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0"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14 (c) shareholders becoming bound by a non-UK reorganisation (as defined in paragraph 47A of Schedule 3) that is applicable to or affects: (i) all the ordinary share capital of the Company or all the shares of the same class as the shares to which the Option relates; or (ii) all the shares, or all the shares of that same class, which are held by a class of shareholders identified otherwise than by reference to their employment or directorships or their participation in a Schedule 3 SAYE option scheme; or (d) a person becoming bound or entitled to acquire Shares under sections 979 to 985 of the Companies Act 2006. 19.2 Subject to rule 20, if a Relevant Event occurs, an Option may be exercised: (a) within six months of a Relevant Event occurring under rule 19.1(a), rule 19.1(b), or rule 19.1(c); (b) at any time after a Relevant Event occurring under rule 19.1(d), for as long as that person remains so bound or entitled. The Option shall lapse when it is no longer capable of being exercised under this rule 19.2 or released pursuant to rule 20. 19.3 If, as a result of a change of Control in the circumstances set out below, Shares will no longer satisfy the requirements of Part 4 of Schedule 3, Options may be exercised within the period of 20 days following the change of Control. The circumstances are: (a) a Relevant Event specified in rule 19.1(a); or (b) a change of Control occurs as a result of a Relevant Event specified in rule 19.1(b), rule 19.1(c) or rule 19.1(d)). If an Option is not then exercised, it will lapse on the expiry of 20 days following the change of Control. 19.4 If the Board reasonably expects a Relevant Event to occur, the Board may make arrangements permitting Options to be exercised during a period of 20 days ending with the Relevant Event. If an Option is exercised under this rule 19.4, it will be treated as having been exercised in accordance with rule 19.2. 19.5 If the Board makes arrangements for the exercise of Options under rule 19.4: (a) unless the Board determines otherwise any Option not exercised in accordance with those arrangements will lapse on the date of Relevant Event; and (b) if the Relevant Event does not occur within 20 days of the date of purported exercise, the Option shall be treated as not having been exercised. 19.6 If a Relevant Event takes place in the course of any corporate reconstruction or reorganisation under which the ultimate beneficial ownership of the business of the Group Companies will remain the same, and the company that obtains Control offers to grant New Options (as defined below) in accordance with rule 20.1, then the Board may determine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1"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15 (a) Options may not be exercised; and (b) all Old Options shall lapse at the end of the Rollover Period to the extent that they are not released under rule 20.1. 19.7 In this rule 19 (but not rule 20.1), a person (P) will be deemed to have obtained Control of a company if P, and others acting with P, have obtained Control of it together. 19.8 If the Company passes a resolution for voluntary winding up, any Option may be exercised within six months after the resolution is passed, and it will lapse at the end of that period. 19.9 The Board must notify Option Holders of any event that may trigger the exercise of Options under this rule 19 within a reasonable period after the Board becomes aware of it. 20. Rollover of Options 20.1 If as a result of a Relevant Event a company has obtained Control of the Company, each Option Holder may, by agreement with that company (Acquiring Company) within the Rollover Period, release each Option (“Old Option”) for a replacement option (“New Option”) as set out in this rule 20. 20.2 A New Option must: (a) be over shares in the Acquiring Company (or some other company falling within paragraph 39(2)(b) of Schedule 3) that satisfy the requirements of paragraphs 18 to 20 and 22 of Schedule 3; (b) be a right to acquire such number of shares as have, immediately after grant of the New Option, a total Market Value substantially the same as the total Market Value of the Shares subject to the Old Option immediately before its release; (c) have an exercise price per share such that the total price payable on complete exercise of the New Option is substantially the same as the total Exercise Price payable on complete exercise of the Old Option; and (d) be on terms otherwise identical to the Old Option immediately before the Old Option's release. 20.3 For the purposes of this rule 20, “Rollover Period” has the meaning given in paragraph 38(3) of Schedule 3. 20.4 A New Option granted under rule 20.1 will be treated as having been acquired at the same time as the relevant Old Option for all other purposes of the Plan. 20.5 The Plan will be interpreted in relation to any New Options as if references to: (a) the “Company” (except for those in the definitions of Constituent Company and Eligible Company) were references to the Acquiring Company (or to any other company whose shares are subject to the New Options, as the context may require); and (b) the “Shares” were references to the shares subject to the New Options.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2"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16 20.6 The Company will remain the scheme organiser of the Plan (as defined in paragraph 2(2) of Schedule 3) following the release of Options and the grant of New Options under rule 20.1. 20.7 The Acquiring Company must issue (or procure the issue of) an Option Certificate for each New Option as soon as reasonably practical. 21. Variation of share capital 21.1 If there is a variation of the share capital of the Company (whether that variation is a capitalisation issue (other than a scrip dividend), rights issue, consolidation, subdivision or reduction of capital or otherwise), which affects (or may affect) the value of Options, the Board may adjust the number and description of Shares subject to each Option and/or the Exercise Price of each Option in a manner that the Board, in its reasonable opinion, considers to be fair and appropriate. 21.2 An adjustment under rule 21.1 must meet the following requirements: (a) the total Market Value of Shares subject to the Option must be substantially the same immediately after the variation of share capital as immediately before the variation of share capital; (b) the total amount payable on the exercise of any Option immediately after the variation of share capital must be substantially the same as immediately before the variation of share capital; and (c) the Exercise Price for a Share to be newly issued on the exercise of an Option must not be reduced below that Share's nominal value (unless the Board resolves to capitalise, from reserves, an amount equal to the amount by which the total nominal value of the relevant Shares exceeds the total adjusted Exercise Price, and to apply such amount to pay up the relevant Shares in full). 22. Notices 22.1 In this rule 22: (a) “appropriate address” means: (i) in the case of the Company, its registered office; (ii) in the case of an Eligible Employee or Option Holder, their home address; (iii) if the Option Holder has died, and notice of the appointment of personal representatives has been given to the Company, any contact address they have specified in such notice; and (b) “appropriate email address” means: (i) in the case of the Company, the email address of the Company Secretary; (ii) in the case of an Eligible Employee or Option Holder, if they are permitted to receive personal emails at work, their work email address. 22.2 Any notice or other communication given under or in connection with the Plan shall be in writing and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3"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17 (a) delivered by hand or by pre-paid first-class post or other next working day delivery service at the appropriate address; or (b) sent by email to the appropriate email address; or (c) electronically through the portal established for the purposes of the Plan from time to time. 22.3 Any notice or other communication given under this rule 22 shall be deemed to have been received: (a) if delivered by hand, on signature of a delivery receipt, or at the time the notice is left at the proper address; (b) if sent by pre-paid first-class post or other next working day delivery service, at 9.00 am on the second Business Day after posting, or at the time recorded by the delivery service; and (c) if sent by email, at 9.00 am on the next Business Day after sending; and (d) if sent by electronically through the portal established for the purposes of the Plan from time to time, immediately. 22.4 This rule 22 does not apply to: (a) the service of any notice of exercise pursuant to rule 17.1; and (b) the service of any proceedings or other documents in any legal action or, where applicable, any arbitration or other method of dispute resolution. 23. Administration and amendment 23.1 The Board shall direct the administration of the Plan. 23.2 The Board may amend the Plan from time to time, but: (a) the Board may not amend a Key Feature if the effect would be that the Plan would no longer be a Schedule 3 SAYE option scheme. If the Board amends a Key Feature, the Company shall make a declaration under paragraph 40B of Schedule 3 that the Plan continues to meet the requirements of Parts 2 to 7 of Schedule 3; (b) while Shares are listed on NASDAQ, the Board may not make any amendment to rule 12 without the prior approval of shareholders. 23.3 The cost of establishing and operating the Plan will be borne by the Constituent Companies in proportions determined by the Board. 23.4 The Company must ensure that, in order to satisfy the exercise of all Options, at all times: (a) it has sufficient unissued or treasury Shares available; or (b) arrangements are in place for any third party to transfer issued Shares, to satisfy the exercise of all the Options.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4"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303332810 v3 18 23.5 Any decision under the Plan, and whether to consider making such a decision, shall be entirely at the discretion of the Board. 23.6 The Board will determine any question of interpretation and settle any dispute arising under the Plan. In such matters the Board's decision will be final. 23.7 In making any decision or determination, or exercising any discretion under the rules, the Board shall act fairly and reasonably and in good faith. 23.8 The Company has no obligation to notify any Option Holder: (a) if an Option is due to lapse; or (b) when an Option is due to, or has, become exercisable. 23.9 The Company has no obligation to provide Option Holders with copies of any materials sent to the holders of Shares. 24. Governing law and Jurisdiction 24.1 The Plan, including any non-contractual obligations arising in connection therewith, will be governed by and interpreted in accordance with the laws of England and Wales, disregarding any jurisdiction’s choice-of-law principles requiring the application of a jurisdiction’s laws other than that of England and Wales and the courts of England and Wales shall have exclusive jurisdiction to hear any dispute. 25. Third party rights 25.1 A person who is not a party to the Option shall not have any rights under or in connection with it as a result of the Contracts (Rights of Third Parties) Act 1999 except where such rights arise under any provision of the Plan for any employer or former employer of the Option Holder which is not a party. 25.2 Rule 25.1 does not affect any right or remedy of a third party which exists, or is available, apart from that Act. 26. Data privacy 26.1 For the purpose of operating the Plan in the United Kingdom and the European Union, the Company will collect and process information relating to Eligible Employees and Option Holders in accordance with the privacy notice which is provided to each Eligible Employee and Option Holder.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Certification by the Principal Executive Officer pursuant to</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Securities Exchange Act Rules 13a-14(a) and 15d-14(a)</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Christian Itin,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4"/>
        <w:gridCol w:w="942"/>
        <w:gridCol w:w="942"/>
        <w:gridCol w:w="2346"/>
        <w:gridCol w:w="1836"/>
        <w:gridCol w:w="2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Autolus Therapeutics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5.</w:t>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before="0" w:after="120"/>
        <w:jc w:val="both"/>
        <w:rPr/>
      </w:pPr>
      <w:r>
        <w:rPr/>
      </w:r>
    </w:p>
    <w:tbl>
      <w:tblPr>
        <w:tblW w:w="4515" w:type="dxa"/>
        <w:jc w:val="left"/>
        <w:tblInd w:w="0" w:type="dxa"/>
        <w:tblLayout w:type="fixed"/>
        <w:tblCellMar>
          <w:top w:w="28" w:type="dxa"/>
          <w:left w:w="28" w:type="dxa"/>
          <w:bottom w:w="28" w:type="dxa"/>
          <w:right w:w="28" w:type="dxa"/>
        </w:tblCellMar>
      </w:tblPr>
      <w:tblGrid>
        <w:gridCol w:w="705"/>
        <w:gridCol w:w="621"/>
        <w:gridCol w:w="624"/>
        <w:gridCol w:w="746"/>
        <w:gridCol w:w="746"/>
        <w:gridCol w:w="107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Itin,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Itin, Ph.D.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Certification by the Principal Financial Officer pursuant to</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Securities Exchange Act Rules 13a-14(a) and 15d-14(a)</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Robert Dolski,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34"/>
        <w:gridCol w:w="942"/>
        <w:gridCol w:w="942"/>
        <w:gridCol w:w="2346"/>
        <w:gridCol w:w="1836"/>
        <w:gridCol w:w="2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Autolus Therapeutics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2.</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4.</w:t>
            </w:r>
          </w:p>
        </w:tc>
        <w:tc>
          <w:tcPr>
            <w:tcW w:w="98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5.</w:t>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w:t>
            </w:r>
          </w:p>
        </w:tc>
        <w:tc>
          <w:tcPr>
            <w:tcW w:w="6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Any fraud, whether or not material, that involves management or other employees who have a significant role in the registrant’s internal control over financial reporting.</w:t>
            </w:r>
          </w:p>
        </w:tc>
      </w:tr>
    </w:tbl>
    <w:p>
      <w:pPr>
        <w:pStyle w:val="TextBody"/>
        <w:bidi w:val="0"/>
        <w:spacing w:before="0" w:after="120"/>
        <w:jc w:val="both"/>
        <w:rPr/>
      </w:pPr>
      <w:r>
        <w:rPr/>
      </w:r>
    </w:p>
    <w:tbl>
      <w:tblPr>
        <w:tblW w:w="4469" w:type="dxa"/>
        <w:jc w:val="left"/>
        <w:tblInd w:w="0" w:type="dxa"/>
        <w:tblLayout w:type="fixed"/>
        <w:tblCellMar>
          <w:top w:w="28" w:type="dxa"/>
          <w:left w:w="28" w:type="dxa"/>
          <w:bottom w:w="28" w:type="dxa"/>
          <w:right w:w="28" w:type="dxa"/>
        </w:tblCellMar>
      </w:tblPr>
      <w:tblGrid>
        <w:gridCol w:w="705"/>
        <w:gridCol w:w="621"/>
        <w:gridCol w:w="624"/>
        <w:gridCol w:w="736"/>
        <w:gridCol w:w="736"/>
        <w:gridCol w:w="104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Dolski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Robert Dolski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Pursuant to the requirement set forth in Rule 13a-14(b) of the Securities Exchange Act of 1934, as amended, (the “Exchange Act”) and Section 1350 of Chapter 63 of Title 18 of the United States Code (18 U.S.C. §1350),</w:t>
      </w:r>
      <w:r>
        <w:rPr>
          <w:color w:val="000000"/>
        </w:rPr>
        <w:t xml:space="preserve"> </w:t>
      </w:r>
      <w:r>
        <w:rPr>
          <w:rFonts w:ascii="Times New Roman;serif" w:hAnsi="Times New Roman;serif"/>
          <w:b w:val="false"/>
          <w:color w:val="000000"/>
          <w:sz w:val="20"/>
        </w:rPr>
        <w:t>Christian Itin, Chief Executive Officer of Autolus Therapeutics plc (the “Company”), and Robert Dolski, Chief Financial Officer of the Company, each hereby certifies that, to the best of his or her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quarter ended March 31, 2025, to which this Certification is attached as Exhibit 32.1 (the “Periodic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Quarterly Report fairly presents, in all material respects, the financial condition and results of operations of the Company.</w:t>
            </w:r>
          </w:p>
        </w:tc>
      </w:tr>
    </w:tbl>
    <w:p>
      <w:pPr>
        <w:pStyle w:val="TextBody"/>
        <w:bidi w:val="0"/>
        <w:spacing w:lineRule="auto" w:line="288" w:before="0" w:after="0"/>
        <w:ind w:left="0" w:right="0" w:firstLine="1440"/>
        <w:jc w:val="left"/>
        <w:rPr>
          <w:color w:val="000000"/>
        </w:rPr>
      </w:pPr>
      <w:r>
        <w:rPr>
          <w:color w:val="000000"/>
        </w:rPr>
        <w:t>        </w:t>
      </w:r>
    </w:p>
    <w:tbl>
      <w:tblPr>
        <w:tblW w:w="1995" w:type="dxa"/>
        <w:jc w:val="left"/>
        <w:tblInd w:w="0" w:type="dxa"/>
        <w:tblLayout w:type="fixed"/>
        <w:tblCellMar>
          <w:top w:w="28" w:type="dxa"/>
          <w:left w:w="28" w:type="dxa"/>
          <w:bottom w:w="28" w:type="dxa"/>
          <w:right w:w="28" w:type="dxa"/>
        </w:tblCellMar>
      </w:tblPr>
      <w:tblGrid>
        <w:gridCol w:w="637"/>
        <w:gridCol w:w="561"/>
        <w:gridCol w:w="797"/>
      </w:tblGrid>
      <w:tr>
        <w:trPr/>
        <w:tc>
          <w:tcPr>
            <w:tcW w:w="6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2025</w:t>
            </w:r>
          </w:p>
        </w:tc>
      </w:tr>
    </w:tbl>
    <w:p>
      <w:pPr>
        <w:pStyle w:val="TextBody"/>
        <w:bidi w:val="0"/>
        <w:spacing w:before="0" w:after="0"/>
        <w:jc w:val="left"/>
        <w:rPr/>
      </w:pPr>
      <w:r>
        <w:rPr/>
      </w:r>
    </w:p>
    <w:tbl>
      <w:tblPr>
        <w:tblW w:w="6882" w:type="dxa"/>
        <w:jc w:val="left"/>
        <w:tblInd w:w="0" w:type="dxa"/>
        <w:tblLayout w:type="fixed"/>
        <w:tblCellMar>
          <w:top w:w="28" w:type="dxa"/>
          <w:left w:w="28" w:type="dxa"/>
          <w:bottom w:w="28" w:type="dxa"/>
          <w:right w:w="28" w:type="dxa"/>
        </w:tblCellMar>
      </w:tblPr>
      <w:tblGrid>
        <w:gridCol w:w="1176"/>
        <w:gridCol w:w="1033"/>
        <w:gridCol w:w="1046"/>
        <w:gridCol w:w="109"/>
        <w:gridCol w:w="109"/>
        <w:gridCol w:w="109"/>
        <w:gridCol w:w="964"/>
        <w:gridCol w:w="964"/>
        <w:gridCol w:w="1372"/>
      </w:tblGrid>
      <w:tr>
        <w:trPr/>
        <w:tc>
          <w:tcPr>
            <w:tcW w:w="117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Christian Itin,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Robert Dolski.</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Itin,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Robert Dolski</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(Principal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Autolus Therapeutics plc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0463/000119312518196344/d531832dex31.htm" TargetMode="External"/><Relationship Id="rId3" Type="http://schemas.openxmlformats.org/officeDocument/2006/relationships/hyperlink" Target="https://www.sec.gov/Archives/edgar/data/1730463/000119312518196344/d531832dex3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45828</Words>
  <Characters>252322</Characters>
  <CharactersWithSpaces>296536</CharactersWithSpaces>
  <Paragraphs>3173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ex-102xautolustherapeuti</dc:title>
</cp:coreProperties>
</file>