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3328670</wp:posOffset>
            </wp:positionH>
            <wp:positionV relativeFrom="page">
              <wp:posOffset>157480</wp:posOffset>
            </wp:positionV>
            <wp:extent cx="891540" cy="5911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891540" cy="591185"/>
                    </a:xfrm>
                    <a:prstGeom prst="rect">
                      <a:avLst/>
                    </a:prstGeom>
                    <a:noFill/>
                  </pic:spPr>
                </pic:pic>
              </a:graphicData>
            </a:graphic>
          </wp:anchor>
        </w:drawing>
        <w:t>The MediaWorks, 191 Wood Lane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London, W12 7FP, United Kingdom</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14, 2026</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4"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tab/>
        <w:t>Delaying Amendment for Autolus Therapeutics plc</w:t>
      </w:r>
    </w:p>
    <w:p>
      <w:pPr>
        <w:spacing w:after="0" w:line="27"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Registration Statement on Form S-3 (File No. 333-295003)</w:t>
      </w:r>
    </w:p>
    <w:p>
      <w:pPr>
        <w:spacing w:after="0" w:line="20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left="4" w:right="80"/>
        <w:spacing w:after="0" w:line="261" w:lineRule="auto"/>
        <w:rPr>
          <w:sz w:val="20"/>
          <w:szCs w:val="20"/>
          <w:color w:val="auto"/>
        </w:rPr>
      </w:pPr>
      <w:r>
        <w:rPr>
          <w:rFonts w:ascii="Times New Roman" w:cs="Times New Roman" w:eastAsia="Times New Roman" w:hAnsi="Times New Roman"/>
          <w:sz w:val="18"/>
          <w:szCs w:val="18"/>
          <w:color w:val="auto"/>
        </w:rPr>
        <w:t>Reference is made to the Registration Statement on Form S-3 (File No. 333-295003) filed with the Securities and Exchange Commission (the “Commission”) by Autolus Therapeutics plc on April 13, 2026 (the “Registration Statement”). Pursuant to Rule 473(c) of the Securities Act of 1933, as amended (the “Act”), the following delaying amendment, prescribed by Rule 473(a) of the Act, is hereby incorporated into the facing page of the Registration Statement:</w:t>
      </w:r>
    </w:p>
    <w:p>
      <w:pPr>
        <w:spacing w:after="0" w:line="72" w:lineRule="exact"/>
        <w:rPr>
          <w:sz w:val="24"/>
          <w:szCs w:val="24"/>
          <w:color w:val="auto"/>
        </w:rPr>
      </w:pPr>
    </w:p>
    <w:p>
      <w:pPr>
        <w:ind w:left="444" w:right="20"/>
        <w:spacing w:after="0" w:line="261" w:lineRule="auto"/>
        <w:rPr>
          <w:sz w:val="20"/>
          <w:szCs w:val="20"/>
          <w:color w:val="auto"/>
        </w:rPr>
      </w:pPr>
      <w:r>
        <w:rPr>
          <w:rFonts w:ascii="Times New Roman" w:cs="Times New Roman" w:eastAsia="Times New Roman" w:hAnsi="Times New Roman"/>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80"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No fees are required in connection with this filing. If you have any questions or comments in connection with this delaying amendment, please contact our legal counsel, Cooley LLP, Attention: Christian Plaza (+1 703 456 8006), email: cplaza@cooley.com or, in his absence, Courtney T. Thorne (+44 (0) 20 7556 4420), email: cthorne@cooley.com.</w:t>
      </w:r>
    </w:p>
    <w:p>
      <w:pPr>
        <w:spacing w:after="0" w:line="17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Sincerely,</w:t>
      </w:r>
    </w:p>
    <w:p>
      <w:pPr>
        <w:spacing w:after="0" w:line="24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AUTOLUS THERAPEUTICS PLC</w:t>
      </w:r>
    </w:p>
    <w:p>
      <w:pPr>
        <w:spacing w:after="0" w:line="229" w:lineRule="exact"/>
        <w:rPr>
          <w:sz w:val="24"/>
          <w:szCs w:val="24"/>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Dolski</w:t>
      </w:r>
    </w:p>
    <w:p>
      <w:pPr>
        <w:spacing w:after="0" w:line="27" w:lineRule="exact"/>
        <w:rPr>
          <w:sz w:val="24"/>
          <w:szCs w:val="24"/>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color w:val="auto"/>
        </w:rPr>
        <w:t>Name:</w:t>
        <w:tab/>
        <w:t>Robert Dolski</w:t>
      </w:r>
    </w:p>
    <w:p>
      <w:pPr>
        <w:spacing w:after="0" w:line="9" w:lineRule="exact"/>
        <w:rPr>
          <w:sz w:val="24"/>
          <w:szCs w:val="24"/>
          <w:color w:val="auto"/>
        </w:rPr>
      </w:pPr>
    </w:p>
    <w:p>
      <w:pPr>
        <w:ind w:left="4"/>
        <w:spacing w:after="0"/>
        <w:tabs>
          <w:tab w:leader="none" w:pos="604"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34" w:lineRule="exact"/>
        <w:rPr>
          <w:sz w:val="24"/>
          <w:szCs w:val="24"/>
          <w:color w:val="auto"/>
        </w:rPr>
      </w:pPr>
    </w:p>
    <w:p>
      <w:pPr>
        <w:ind w:left="444" w:right="8160" w:hanging="444"/>
        <w:spacing w:after="0" w:line="312"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Christian Plaza, Cooley LLP Courtney T. Thorne, Cooley LLP</w:t>
      </w:r>
    </w:p>
    <w:sectPr>
      <w:pgSz w:w="11900" w:h="16838" w:orient="portrait"/>
      <w:cols w:equalWidth="0" w:num="1">
        <w:col w:w="11004"/>
      </w:cols>
      <w:pgMar w:left="436" w:top="137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2026-04-15T05:30:15Z</dcterms:created>
  <dcterms:modified xsi:type="dcterms:W3CDTF">2026-04-15T05:30:15Z</dcterms:modified>
</cp:coreProperties>
</file>