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212529"/>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212529"/>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193040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212529"/>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224790</wp:posOffset>
            </wp:positionV>
            <wp:extent cx="2854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311150</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Autolus Therapeutics plc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193040</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left="22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5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15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001-38547</w:t>
            </w:r>
          </w:p>
        </w:tc>
        <w:tc>
          <w:tcPr>
            <w:tcW w:w="27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1"/>
        </w:trPr>
        <w:tc>
          <w:tcPr>
            <w:tcW w:w="15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w:t>
            </w:r>
          </w:p>
        </w:tc>
        <w:tc>
          <w:tcPr>
            <w:tcW w:w="2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Number)</w:t>
            </w:r>
          </w:p>
        </w:tc>
        <w:tc>
          <w:tcPr>
            <w:tcW w:w="2740" w:type="dxa"/>
            <w:vAlign w:val="bottom"/>
          </w:tcPr>
          <w:p>
            <w:pPr>
              <w:spacing w:after="0"/>
              <w:rPr>
                <w:sz w:val="20"/>
                <w:szCs w:val="20"/>
                <w:color w:val="auto"/>
              </w:rPr>
            </w:pPr>
          </w:p>
        </w:tc>
      </w:tr>
      <w:tr>
        <w:trPr>
          <w:trHeight w:val="346"/>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The Mediaworks</w:t>
            </w:r>
          </w:p>
        </w:tc>
        <w:tc>
          <w:tcPr>
            <w:tcW w:w="2740" w:type="dxa"/>
            <w:vAlign w:val="bottom"/>
          </w:tcPr>
          <w:p>
            <w:pPr>
              <w:spacing w:after="0"/>
              <w:rPr>
                <w:sz w:val="24"/>
                <w:szCs w:val="24"/>
                <w:color w:val="auto"/>
              </w:rPr>
            </w:pPr>
          </w:p>
        </w:tc>
      </w:tr>
      <w:tr>
        <w:trPr>
          <w:trHeight w:val="257"/>
        </w:trPr>
        <w:tc>
          <w:tcPr>
            <w:tcW w:w="1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191 Wood Lane</w:t>
            </w:r>
          </w:p>
        </w:tc>
        <w:tc>
          <w:tcPr>
            <w:tcW w:w="2740" w:type="dxa"/>
            <w:vAlign w:val="bottom"/>
          </w:tcPr>
          <w:p>
            <w:pPr>
              <w:spacing w:after="0"/>
              <w:rPr>
                <w:sz w:val="22"/>
                <w:szCs w:val="22"/>
                <w:color w:val="auto"/>
              </w:rPr>
            </w:pPr>
          </w:p>
        </w:tc>
      </w:tr>
      <w:tr>
        <w:trPr>
          <w:trHeight w:val="256"/>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London W12 7FP</w:t>
            </w:r>
          </w:p>
        </w:tc>
        <w:tc>
          <w:tcPr>
            <w:tcW w:w="2740" w:type="dxa"/>
            <w:vAlign w:val="bottom"/>
          </w:tcPr>
          <w:p>
            <w:pPr>
              <w:spacing w:after="0"/>
              <w:rPr>
                <w:sz w:val="22"/>
                <w:szCs w:val="22"/>
                <w:color w:val="auto"/>
              </w:rPr>
            </w:pPr>
          </w:p>
        </w:tc>
      </w:tr>
      <w:tr>
        <w:trPr>
          <w:trHeight w:val="257"/>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2740" w:type="dxa"/>
            <w:vAlign w:val="bottom"/>
          </w:tcPr>
          <w:p>
            <w:pPr>
              <w:spacing w:after="0"/>
              <w:rPr>
                <w:sz w:val="22"/>
                <w:szCs w:val="22"/>
                <w:color w:val="auto"/>
              </w:rPr>
            </w:pPr>
          </w:p>
        </w:tc>
      </w:tr>
    </w:tbl>
    <w:p>
      <w:pPr>
        <w:spacing w:after="0" w:line="22" w:lineRule="exact"/>
        <w:rPr>
          <w:sz w:val="24"/>
          <w:szCs w:val="24"/>
          <w:color w:val="auto"/>
        </w:rPr>
      </w:pPr>
    </w:p>
    <w:p>
      <w:pPr>
        <w:sectPr>
          <w:pgSz w:w="11900" w:h="16838" w:orient="portrait"/>
          <w:cols w:equalWidth="0" w:num="2">
            <w:col w:w="4400" w:space="560"/>
            <w:col w:w="6280"/>
          </w:cols>
          <w:pgMar w:left="320" w:top="1440" w:right="339" w:bottom="1440" w:gutter="0" w:footer="0" w:header="0"/>
          <w:type w:val="continuous"/>
        </w:sectPr>
      </w:pPr>
    </w:p>
    <w:p>
      <w:pPr>
        <w:ind w:left="382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15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(44) 20 3829 6230</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12529"/>
        </w:rPr>
        <w:t>Not Applicable</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212529"/>
        </w:rPr>
        <w:t>(Former name or former address, if changed since last report)</w:t>
      </w:r>
    </w:p>
    <w:p>
      <w:pPr>
        <w:spacing w:after="0" w:line="36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08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American Depositary Shares, each representing one</w:t>
            </w:r>
          </w:p>
        </w:tc>
        <w:tc>
          <w:tcPr>
            <w:tcW w:w="25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AUTL</w:t>
            </w:r>
          </w:p>
        </w:tc>
        <w:tc>
          <w:tcPr>
            <w:tcW w:w="43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34"/>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 nominal value $0.000042 per share</w:t>
            </w:r>
          </w:p>
        </w:tc>
        <w:tc>
          <w:tcPr>
            <w:tcW w:w="25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28"/>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$0.000042 per share*</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
        </w:trPr>
        <w:tc>
          <w:tcPr>
            <w:tcW w:w="4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360" w:right="200" w:hanging="282"/>
        <w:spacing w:after="0"/>
        <w:tabs>
          <w:tab w:leader="none" w:pos="3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Global Select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 thereunder.</w:t>
      </w:r>
    </w:p>
    <w:p>
      <w:pPr>
        <w:spacing w:after="0" w:line="2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12529"/>
        </w:rPr>
        <w:t xml:space="preserve">Emerging growth company </w:t>
      </w:r>
      <w:r>
        <w:rPr>
          <w:rFonts w:ascii="MS PGothic" w:cs="MS PGothic" w:eastAsia="MS PGothic" w:hAnsi="MS PGothic"/>
          <w:sz w:val="17"/>
          <w:szCs w:val="17"/>
          <w:color w:val="212529"/>
        </w:rPr>
        <w:t>☐</w:t>
      </w:r>
    </w:p>
    <w:p>
      <w:pPr>
        <w:spacing w:after="0" w:line="11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29, 2026, Autolus Therapeutics plc (the “Company”) held its 2026 Annual General Meeting of Shareholders (the “AGM”). The shareholders considered the six resolutions set forth below, each of which were voted on and duly passed on a poll at the AGM. Each resolution is described in more detail in the Company’s definitive proxy statement filed with the Securities and Exchange Commission on June 5, 2026 (the “Proxy Statement”). Set forth below are the results, including the number of votes cast for, against and abstentions, with respect to each of the resolutions submitted for a vote of the shareholders at the AGM. An abstention is not a vote in law and is not counted in the calculation of the proportion of the votes for or against a particular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Ordinary Resolutions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Resolution 1: </w:t>
      </w:r>
      <w:r>
        <w:rPr>
          <w:rFonts w:ascii="Times New Roman" w:cs="Times New Roman" w:eastAsia="Times New Roman" w:hAnsi="Times New Roman"/>
          <w:sz w:val="18"/>
          <w:szCs w:val="18"/>
          <w:color w:val="auto"/>
        </w:rPr>
        <w:t>To receive and adopt the Company’s accounts for the financial year ended 31 December 2025 and the associated reports of the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auditors (the “2025 Annual Report and Accounts”). The votes were cast as follows:</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36"/>
        </w:trPr>
        <w:tc>
          <w:tcPr>
            <w:tcW w:w="3760" w:type="dxa"/>
            <w:vAlign w:val="bottom"/>
            <w:tcBorders>
              <w:left w:val="single" w:sz="8" w:color="auto"/>
              <w:bottom w:val="single" w:sz="8" w:color="CCEEFF"/>
              <w:right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165,846,326</w:t>
            </w:r>
          </w:p>
        </w:tc>
        <w:tc>
          <w:tcPr>
            <w:tcW w:w="3720" w:type="dxa"/>
            <w:vAlign w:val="bottom"/>
            <w:tcBorders>
              <w:bottom w:val="single" w:sz="8" w:color="CCEEFF"/>
              <w:right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2,895,344</w:t>
            </w:r>
          </w:p>
        </w:tc>
        <w:tc>
          <w:tcPr>
            <w:tcW w:w="3740" w:type="dxa"/>
            <w:vAlign w:val="bottom"/>
            <w:tcBorders>
              <w:bottom w:val="single" w:sz="8" w:color="CCEEFF"/>
              <w:right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75,901</w:t>
            </w:r>
          </w:p>
        </w:tc>
      </w:tr>
      <w:tr>
        <w:trPr>
          <w:trHeight w:val="20"/>
        </w:trPr>
        <w:tc>
          <w:tcPr>
            <w:tcW w:w="3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2: </w:t>
      </w:r>
      <w:r>
        <w:rPr>
          <w:rFonts w:ascii="Times New Roman" w:cs="Times New Roman" w:eastAsia="Times New Roman" w:hAnsi="Times New Roman"/>
          <w:sz w:val="18"/>
          <w:szCs w:val="18"/>
          <w:color w:val="auto"/>
        </w:rPr>
        <w:t>To approve the Directors’ remuneration report (excluding the Directors’ remuneration policy), as set out on pages 38 to 67 of the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and Accounts. The votes were cast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4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37"/>
        </w:trPr>
        <w:tc>
          <w:tcPr>
            <w:tcW w:w="3740" w:type="dxa"/>
            <w:vAlign w:val="bottom"/>
            <w:tcBorders>
              <w:left w:val="single" w:sz="8" w:color="auto"/>
              <w:bottom w:val="single" w:sz="8" w:color="CCEEFF"/>
              <w:right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156,192,216</w:t>
            </w:r>
          </w:p>
        </w:tc>
        <w:tc>
          <w:tcPr>
            <w:tcW w:w="3740" w:type="dxa"/>
            <w:vAlign w:val="bottom"/>
            <w:tcBorders>
              <w:bottom w:val="single" w:sz="8" w:color="CCEEFF"/>
              <w:right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12,502,946</w:t>
            </w:r>
          </w:p>
        </w:tc>
        <w:tc>
          <w:tcPr>
            <w:tcW w:w="3740" w:type="dxa"/>
            <w:vAlign w:val="bottom"/>
            <w:tcBorders>
              <w:bottom w:val="single" w:sz="8" w:color="CCEEFF"/>
              <w:right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122,409</w:t>
            </w: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Resolution 3: </w:t>
      </w:r>
      <w:r>
        <w:rPr>
          <w:rFonts w:ascii="Times New Roman" w:cs="Times New Roman" w:eastAsia="Times New Roman" w:hAnsi="Times New Roman"/>
          <w:sz w:val="18"/>
          <w:szCs w:val="18"/>
          <w:color w:val="auto"/>
        </w:rPr>
        <w:t>To appoint Ernst &amp; Young LLP (US) as auditors of the Company to hold office from the conclusion of the 2026 AGM until the conclusion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2027 AGM and to authorize the Directors to determine the auditors’ remuneration. The votes were cast as follows:</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 w:type="dxa"/>
            <w:vAlign w:val="bottom"/>
          </w:tcPr>
          <w:p>
            <w:pPr>
              <w:spacing w:after="0"/>
              <w:rPr>
                <w:sz w:val="22"/>
                <w:szCs w:val="22"/>
                <w:color w:val="auto"/>
              </w:rPr>
            </w:pPr>
          </w:p>
        </w:tc>
      </w:tr>
      <w:tr>
        <w:trPr>
          <w:trHeight w:val="261"/>
        </w:trPr>
        <w:tc>
          <w:tcPr>
            <w:tcW w:w="3760" w:type="dxa"/>
            <w:vAlign w:val="bottom"/>
            <w:tcBorders>
              <w:left w:val="single" w:sz="8" w:color="auto"/>
              <w:bottom w:val="single" w:sz="8" w:color="CCEEFF"/>
              <w:right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165,871,368</w:t>
            </w:r>
          </w:p>
        </w:tc>
        <w:tc>
          <w:tcPr>
            <w:tcW w:w="3720" w:type="dxa"/>
            <w:vAlign w:val="bottom"/>
            <w:tcBorders>
              <w:bottom w:val="single" w:sz="8" w:color="CCEEFF"/>
              <w:right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2,872,225</w:t>
            </w:r>
          </w:p>
        </w:tc>
        <w:tc>
          <w:tcPr>
            <w:tcW w:w="3740" w:type="dxa"/>
            <w:vAlign w:val="bottom"/>
            <w:tcBorders>
              <w:bottom w:val="single" w:sz="8" w:color="CCEEFF"/>
              <w:right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73,978</w:t>
            </w:r>
          </w:p>
        </w:tc>
        <w:tc>
          <w:tcPr>
            <w:tcW w:w="20" w:type="dxa"/>
            <w:vAlign w:val="bottom"/>
          </w:tcPr>
          <w:p>
            <w:pPr>
              <w:spacing w:after="0"/>
              <w:rPr>
                <w:sz w:val="22"/>
                <w:szCs w:val="22"/>
                <w:color w:val="auto"/>
              </w:rPr>
            </w:pPr>
          </w:p>
        </w:tc>
      </w:tr>
      <w:tr>
        <w:trPr>
          <w:trHeight w:val="1594"/>
        </w:trPr>
        <w:tc>
          <w:tcPr>
            <w:tcW w:w="3760" w:type="dxa"/>
            <w:vAlign w:val="bottom"/>
            <w:tcBorders>
              <w:top w:val="single" w:sz="8" w:color="auto"/>
              <w:bottom w:val="single" w:sz="8" w:color="9A9A9A"/>
            </w:tcBorders>
          </w:tcPr>
          <w:p>
            <w:pPr>
              <w:spacing w:after="0"/>
              <w:rPr>
                <w:sz w:val="24"/>
                <w:szCs w:val="24"/>
                <w:color w:val="auto"/>
              </w:rPr>
            </w:pPr>
          </w:p>
        </w:tc>
        <w:tc>
          <w:tcPr>
            <w:tcW w:w="372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4: </w:t>
      </w:r>
      <w:r>
        <w:rPr>
          <w:rFonts w:ascii="Times New Roman" w:cs="Times New Roman" w:eastAsia="Times New Roman" w:hAnsi="Times New Roman"/>
          <w:sz w:val="18"/>
          <w:szCs w:val="18"/>
          <w:color w:val="auto"/>
        </w:rPr>
        <w:t>To re-elect Mr. M Bonney as a Director. The votes were cast as follows: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37"/>
        </w:trPr>
        <w:tc>
          <w:tcPr>
            <w:tcW w:w="3760" w:type="dxa"/>
            <w:vAlign w:val="bottom"/>
            <w:tcBorders>
              <w:left w:val="single" w:sz="8" w:color="auto"/>
              <w:bottom w:val="single" w:sz="8" w:color="CCEEFF"/>
              <w:right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165,491,394</w:t>
            </w:r>
          </w:p>
        </w:tc>
        <w:tc>
          <w:tcPr>
            <w:tcW w:w="3720" w:type="dxa"/>
            <w:vAlign w:val="bottom"/>
            <w:tcBorders>
              <w:bottom w:val="single" w:sz="8" w:color="CCEEFF"/>
              <w:right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3,312,126</w:t>
            </w:r>
          </w:p>
        </w:tc>
        <w:tc>
          <w:tcPr>
            <w:tcW w:w="3740" w:type="dxa"/>
            <w:vAlign w:val="bottom"/>
            <w:tcBorders>
              <w:bottom w:val="single" w:sz="8" w:color="CCEEFF"/>
              <w:right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14,051</w:t>
            </w:r>
          </w:p>
        </w:tc>
      </w:tr>
      <w:tr>
        <w:trPr>
          <w:trHeight w:val="20"/>
        </w:trPr>
        <w:tc>
          <w:tcPr>
            <w:tcW w:w="3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5: </w:t>
      </w:r>
      <w:r>
        <w:rPr>
          <w:rFonts w:ascii="Times New Roman" w:cs="Times New Roman" w:eastAsia="Times New Roman" w:hAnsi="Times New Roman"/>
          <w:sz w:val="18"/>
          <w:szCs w:val="18"/>
          <w:color w:val="auto"/>
        </w:rPr>
        <w:t>To re-elect Dr. E Leiderman as a Director. The votes were cast as follows: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36"/>
        </w:trPr>
        <w:tc>
          <w:tcPr>
            <w:tcW w:w="3760" w:type="dxa"/>
            <w:vAlign w:val="bottom"/>
            <w:tcBorders>
              <w:left w:val="single" w:sz="8" w:color="auto"/>
              <w:bottom w:val="single" w:sz="8" w:color="CCEEFF"/>
              <w:right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165,741,204</w:t>
            </w:r>
          </w:p>
        </w:tc>
        <w:tc>
          <w:tcPr>
            <w:tcW w:w="3720" w:type="dxa"/>
            <w:vAlign w:val="bottom"/>
            <w:tcBorders>
              <w:bottom w:val="single" w:sz="8" w:color="CCEEFF"/>
              <w:right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3,063,838</w:t>
            </w:r>
          </w:p>
        </w:tc>
        <w:tc>
          <w:tcPr>
            <w:tcW w:w="3740" w:type="dxa"/>
            <w:vAlign w:val="bottom"/>
            <w:tcBorders>
              <w:bottom w:val="single" w:sz="8" w:color="CCEEFF"/>
              <w:right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12,529</w:t>
            </w:r>
          </w:p>
        </w:tc>
      </w:tr>
      <w:tr>
        <w:trPr>
          <w:trHeight w:val="20"/>
        </w:trPr>
        <w:tc>
          <w:tcPr>
            <w:tcW w:w="37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Resolution 6: </w:t>
      </w:r>
      <w:r>
        <w:rPr>
          <w:rFonts w:ascii="Times New Roman" w:cs="Times New Roman" w:eastAsia="Times New Roman" w:hAnsi="Times New Roman"/>
          <w:sz w:val="18"/>
          <w:szCs w:val="18"/>
          <w:color w:val="auto"/>
        </w:rPr>
        <w:t>To re-elect Mr. RW Azelby as a Director. The votes were cast as follows: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62"/>
        </w:trPr>
        <w:tc>
          <w:tcPr>
            <w:tcW w:w="3760" w:type="dxa"/>
            <w:vAlign w:val="bottom"/>
            <w:tcBorders>
              <w:left w:val="single" w:sz="8" w:color="auto"/>
              <w:bottom w:val="single" w:sz="8" w:color="CCEEFF"/>
              <w:right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162,133,091</w:t>
            </w:r>
          </w:p>
        </w:tc>
        <w:tc>
          <w:tcPr>
            <w:tcW w:w="3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6,671,776</w:t>
            </w:r>
          </w:p>
        </w:tc>
        <w:tc>
          <w:tcPr>
            <w:tcW w:w="3740" w:type="dxa"/>
            <w:vAlign w:val="bottom"/>
            <w:tcBorders>
              <w:bottom w:val="single" w:sz="8" w:color="CCEEFF"/>
              <w:right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12,704</w:t>
            </w:r>
          </w:p>
        </w:tc>
      </w:tr>
      <w:tr>
        <w:trPr>
          <w:trHeight w:val="628"/>
        </w:trPr>
        <w:tc>
          <w:tcPr>
            <w:tcW w:w="3760" w:type="dxa"/>
            <w:vAlign w:val="bottom"/>
            <w:tcBorders>
              <w:top w:val="single" w:sz="8" w:color="auto"/>
            </w:tcBorders>
          </w:tcPr>
          <w:p>
            <w:pPr>
              <w:spacing w:after="0"/>
              <w:rPr>
                <w:sz w:val="24"/>
                <w:szCs w:val="24"/>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3740" w:type="dxa"/>
            <w:vAlign w:val="bottom"/>
            <w:tcBorders>
              <w:top w:val="single" w:sz="8" w:color="auto"/>
            </w:tcBorders>
          </w:tcPr>
          <w:p>
            <w:pPr>
              <w:spacing w:after="0"/>
              <w:rPr>
                <w:sz w:val="24"/>
                <w:szCs w:val="24"/>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AUTOLUS THERAPEUTICS PLC</w:t>
      </w:r>
    </w:p>
    <w:p>
      <w:pPr>
        <w:spacing w:after="0" w:line="54" w:lineRule="exact"/>
        <w:rPr>
          <w:sz w:val="20"/>
          <w:szCs w:val="20"/>
          <w:color w:val="auto"/>
        </w:rPr>
      </w:pPr>
    </w:p>
    <w:p>
      <w:pPr>
        <w:ind w:left="20"/>
        <w:spacing w:after="0"/>
        <w:tabs>
          <w:tab w:leader="none" w:pos="5240" w:val="left"/>
          <w:tab w:leader="none" w:pos="5680" w:val="left"/>
        </w:tabs>
        <w:rPr>
          <w:sz w:val="20"/>
          <w:szCs w:val="20"/>
          <w:color w:val="auto"/>
        </w:rPr>
      </w:pPr>
      <w:r>
        <w:rPr>
          <w:rFonts w:ascii="Times New Roman" w:cs="Times New Roman" w:eastAsia="Times New Roman" w:hAnsi="Times New Roman"/>
          <w:sz w:val="18"/>
          <w:szCs w:val="18"/>
          <w:color w:val="auto"/>
        </w:rPr>
        <w:t>Dated: June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/s/Christian Itin,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34290</wp:posOffset>
            </wp:positionV>
            <wp:extent cx="3215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Christian Itin, Ph.D.</w:t>
      </w:r>
    </w:p>
    <w:p>
      <w:pPr>
        <w:spacing w:after="0" w:line="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2026-06-29T15:07:42Z</dcterms:created>
  <dcterms:modified xsi:type="dcterms:W3CDTF">2026-06-29T15:07:42Z</dcterms:modified>
</cp:coreProperties>
</file>